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74C" w:rsidRPr="00CB58AD" w:rsidRDefault="0000105F" w:rsidP="00996629">
      <w:pPr>
        <w:pBdr>
          <w:top w:val="single" w:sz="4" w:space="1" w:color="auto"/>
          <w:left w:val="single" w:sz="4" w:space="4" w:color="auto"/>
          <w:bottom w:val="single" w:sz="4" w:space="1" w:color="auto"/>
          <w:right w:val="single" w:sz="4" w:space="4" w:color="auto"/>
        </w:pBdr>
        <w:shd w:val="clear" w:color="auto" w:fill="E6E6E6"/>
        <w:contextualSpacing/>
        <w:jc w:val="center"/>
        <w:rPr>
          <w:rFonts w:ascii="Arial" w:hAnsi="Arial" w:cs="Arial"/>
          <w:b/>
          <w:bCs/>
          <w:color w:val="FF0000"/>
          <w:sz w:val="28"/>
          <w:szCs w:val="28"/>
        </w:rPr>
      </w:pPr>
      <w:r w:rsidRPr="00CB58AD">
        <w:rPr>
          <w:rFonts w:ascii="Arial" w:hAnsi="Arial" w:cs="Arial"/>
          <w:b/>
          <w:bCs/>
          <w:color w:val="FF0000"/>
          <w:sz w:val="28"/>
          <w:szCs w:val="28"/>
        </w:rPr>
        <w:t>Compte rendu de la</w:t>
      </w:r>
      <w:r w:rsidR="00A6596D" w:rsidRPr="00CB58AD">
        <w:rPr>
          <w:rFonts w:ascii="Arial" w:hAnsi="Arial" w:cs="Arial"/>
          <w:b/>
          <w:bCs/>
          <w:color w:val="FF0000"/>
          <w:sz w:val="28"/>
          <w:szCs w:val="28"/>
        </w:rPr>
        <w:t xml:space="preserve"> </w:t>
      </w:r>
      <w:r w:rsidR="00EF19E0" w:rsidRPr="00CB58AD">
        <w:rPr>
          <w:rFonts w:ascii="Arial" w:hAnsi="Arial" w:cs="Arial"/>
          <w:b/>
          <w:bCs/>
          <w:color w:val="FF0000"/>
          <w:sz w:val="28"/>
          <w:szCs w:val="28"/>
        </w:rPr>
        <w:t>2</w:t>
      </w:r>
      <w:r w:rsidR="00385F3D">
        <w:rPr>
          <w:rFonts w:ascii="Arial" w:hAnsi="Arial" w:cs="Arial"/>
          <w:b/>
          <w:bCs/>
          <w:color w:val="FF0000"/>
          <w:sz w:val="28"/>
          <w:szCs w:val="28"/>
        </w:rPr>
        <w:t>7</w:t>
      </w:r>
      <w:r w:rsidR="006F774C" w:rsidRPr="00CB58AD">
        <w:rPr>
          <w:rFonts w:ascii="Arial" w:hAnsi="Arial" w:cs="Arial"/>
          <w:b/>
          <w:bCs/>
          <w:color w:val="FF0000"/>
          <w:sz w:val="28"/>
          <w:szCs w:val="28"/>
          <w:vertAlign w:val="superscript"/>
        </w:rPr>
        <w:t>ème</w:t>
      </w:r>
      <w:r w:rsidR="006F774C" w:rsidRPr="00CB58AD">
        <w:rPr>
          <w:rFonts w:ascii="Arial" w:hAnsi="Arial" w:cs="Arial"/>
          <w:b/>
          <w:bCs/>
          <w:color w:val="FF0000"/>
          <w:sz w:val="28"/>
          <w:szCs w:val="28"/>
        </w:rPr>
        <w:t xml:space="preserve"> journée du</w:t>
      </w:r>
    </w:p>
    <w:p w:rsidR="006F774C" w:rsidRPr="00CB58AD" w:rsidRDefault="00846193" w:rsidP="00996629">
      <w:pPr>
        <w:pBdr>
          <w:top w:val="single" w:sz="4" w:space="1" w:color="auto"/>
          <w:left w:val="single" w:sz="4" w:space="4" w:color="auto"/>
          <w:bottom w:val="single" w:sz="4" w:space="1" w:color="auto"/>
          <w:right w:val="single" w:sz="4" w:space="4" w:color="auto"/>
        </w:pBdr>
        <w:shd w:val="clear" w:color="auto" w:fill="E6E6E6"/>
        <w:contextualSpacing/>
        <w:jc w:val="center"/>
        <w:rPr>
          <w:rFonts w:ascii="Arial" w:hAnsi="Arial" w:cs="Arial"/>
          <w:b/>
          <w:bCs/>
          <w:color w:val="FF0000"/>
          <w:sz w:val="28"/>
          <w:szCs w:val="28"/>
        </w:rPr>
      </w:pPr>
      <w:r w:rsidRPr="00CB58AD">
        <w:rPr>
          <w:rFonts w:ascii="Arial" w:hAnsi="Arial" w:cs="Arial"/>
          <w:b/>
          <w:bCs/>
          <w:color w:val="FF0000"/>
          <w:sz w:val="28"/>
          <w:szCs w:val="28"/>
        </w:rPr>
        <w:t>Groupe d’</w:t>
      </w:r>
      <w:r w:rsidR="00B21B2A" w:rsidRPr="00CB58AD">
        <w:rPr>
          <w:rFonts w:ascii="Arial" w:hAnsi="Arial" w:cs="Arial"/>
          <w:b/>
          <w:bCs/>
          <w:color w:val="FF0000"/>
          <w:sz w:val="28"/>
          <w:szCs w:val="28"/>
        </w:rPr>
        <w:t>E</w:t>
      </w:r>
      <w:r w:rsidRPr="00CB58AD">
        <w:rPr>
          <w:rFonts w:ascii="Arial" w:hAnsi="Arial" w:cs="Arial"/>
          <w:b/>
          <w:bCs/>
          <w:color w:val="FF0000"/>
          <w:sz w:val="28"/>
          <w:szCs w:val="28"/>
        </w:rPr>
        <w:t>tude de la biologie des maladies hémorragiques (BIMHO)</w:t>
      </w:r>
    </w:p>
    <w:p w:rsidR="00321E77" w:rsidRPr="00CB58AD" w:rsidRDefault="00321E77" w:rsidP="008D4278">
      <w:pPr>
        <w:contextualSpacing/>
        <w:jc w:val="both"/>
        <w:rPr>
          <w:rFonts w:ascii="Arial" w:hAnsi="Arial" w:cs="Arial"/>
          <w:color w:val="FF0000"/>
          <w:sz w:val="28"/>
          <w:szCs w:val="28"/>
        </w:rPr>
      </w:pPr>
    </w:p>
    <w:p w:rsidR="008D3578" w:rsidRPr="00CB58AD" w:rsidRDefault="008D3578" w:rsidP="008D4278">
      <w:pPr>
        <w:contextualSpacing/>
        <w:jc w:val="both"/>
        <w:rPr>
          <w:rFonts w:ascii="Arial" w:hAnsi="Arial" w:cs="Arial"/>
          <w:color w:val="000000" w:themeColor="text1"/>
        </w:rPr>
      </w:pPr>
      <w:r w:rsidRPr="00CB58AD">
        <w:rPr>
          <w:rFonts w:ascii="Arial" w:hAnsi="Arial" w:cs="Arial"/>
          <w:color w:val="000000" w:themeColor="text1"/>
        </w:rPr>
        <w:t>Cette réunion s’est tenue</w:t>
      </w:r>
      <w:r w:rsidR="00246134" w:rsidRPr="00CB58AD">
        <w:rPr>
          <w:rFonts w:ascii="Arial" w:hAnsi="Arial" w:cs="Arial"/>
          <w:color w:val="000000" w:themeColor="text1"/>
        </w:rPr>
        <w:t xml:space="preserve"> </w:t>
      </w:r>
      <w:r w:rsidR="002738F3" w:rsidRPr="00CB58AD">
        <w:rPr>
          <w:rFonts w:ascii="Arial" w:hAnsi="Arial" w:cs="Arial"/>
          <w:color w:val="000000" w:themeColor="text1"/>
        </w:rPr>
        <w:t xml:space="preserve">le </w:t>
      </w:r>
      <w:r w:rsidR="00385F3D">
        <w:rPr>
          <w:rFonts w:ascii="Arial" w:hAnsi="Arial" w:cs="Arial"/>
          <w:color w:val="000000" w:themeColor="text1"/>
        </w:rPr>
        <w:t>4 juin</w:t>
      </w:r>
      <w:r w:rsidR="005D71E7">
        <w:rPr>
          <w:rFonts w:ascii="Arial" w:hAnsi="Arial" w:cs="Arial"/>
          <w:color w:val="000000" w:themeColor="text1"/>
        </w:rPr>
        <w:t xml:space="preserve"> 2025</w:t>
      </w:r>
      <w:r w:rsidR="00246134" w:rsidRPr="00CB58AD">
        <w:rPr>
          <w:rFonts w:ascii="Arial" w:hAnsi="Arial" w:cs="Arial"/>
          <w:color w:val="000000" w:themeColor="text1"/>
        </w:rPr>
        <w:t xml:space="preserve"> </w:t>
      </w:r>
      <w:r w:rsidRPr="00CB58AD">
        <w:rPr>
          <w:rFonts w:ascii="Arial" w:hAnsi="Arial" w:cs="Arial"/>
          <w:color w:val="000000" w:themeColor="text1"/>
        </w:rPr>
        <w:t xml:space="preserve">et a rassemblé </w:t>
      </w:r>
      <w:r w:rsidR="00362C82">
        <w:rPr>
          <w:rFonts w:ascii="Arial" w:hAnsi="Arial" w:cs="Arial"/>
          <w:color w:val="000000" w:themeColor="text1"/>
        </w:rPr>
        <w:t>44</w:t>
      </w:r>
      <w:r w:rsidR="002738F3" w:rsidRPr="00CB58AD">
        <w:rPr>
          <w:rFonts w:ascii="Arial" w:hAnsi="Arial" w:cs="Arial"/>
          <w:color w:val="000000" w:themeColor="text1"/>
        </w:rPr>
        <w:t xml:space="preserve"> </w:t>
      </w:r>
      <w:r w:rsidRPr="00CB58AD">
        <w:rPr>
          <w:rFonts w:ascii="Arial" w:hAnsi="Arial" w:cs="Arial"/>
          <w:color w:val="000000" w:themeColor="text1"/>
        </w:rPr>
        <w:t>biologistes.</w:t>
      </w:r>
    </w:p>
    <w:p w:rsidR="002738F3" w:rsidRPr="00CB58AD" w:rsidRDefault="002738F3" w:rsidP="008D4278">
      <w:pPr>
        <w:jc w:val="both"/>
        <w:rPr>
          <w:rFonts w:ascii="Arial" w:hAnsi="Arial" w:cs="Arial"/>
          <w:b/>
          <w:color w:val="000000" w:themeColor="text1"/>
          <w:u w:val="single"/>
        </w:rPr>
      </w:pPr>
    </w:p>
    <w:p w:rsidR="00DB7046" w:rsidRPr="00407F6C" w:rsidRDefault="00DB7046" w:rsidP="008D4278">
      <w:pPr>
        <w:pStyle w:val="Paragraphedeliste"/>
        <w:numPr>
          <w:ilvl w:val="0"/>
          <w:numId w:val="2"/>
        </w:numPr>
        <w:autoSpaceDE w:val="0"/>
        <w:autoSpaceDN w:val="0"/>
        <w:adjustRightInd w:val="0"/>
        <w:jc w:val="both"/>
        <w:rPr>
          <w:rFonts w:ascii="Arial" w:hAnsi="Arial" w:cs="Arial"/>
          <w:color w:val="0000FF"/>
        </w:rPr>
      </w:pPr>
      <w:r w:rsidRPr="00DB7046">
        <w:rPr>
          <w:rFonts w:ascii="Arial" w:hAnsi="Arial" w:cs="Arial"/>
          <w:b/>
          <w:color w:val="FF0000"/>
        </w:rPr>
        <w:t xml:space="preserve">Retour du congrès de </w:t>
      </w:r>
      <w:r w:rsidR="00F21D90">
        <w:rPr>
          <w:rFonts w:ascii="Arial" w:hAnsi="Arial" w:cs="Arial"/>
          <w:b/>
          <w:color w:val="FF0000"/>
        </w:rPr>
        <w:t>l’EAHAD</w:t>
      </w:r>
      <w:r w:rsidR="00FB6384">
        <w:rPr>
          <w:rFonts w:ascii="Arial" w:hAnsi="Arial" w:cs="Arial"/>
          <w:b/>
          <w:color w:val="FF0000"/>
        </w:rPr>
        <w:t> </w:t>
      </w:r>
      <w:r w:rsidR="00ED1FA4">
        <w:rPr>
          <w:rFonts w:ascii="Arial" w:hAnsi="Arial" w:cs="Arial"/>
          <w:b/>
          <w:color w:val="FF0000"/>
        </w:rPr>
        <w:t>2025</w:t>
      </w:r>
      <w:r w:rsidR="00FB6384">
        <w:rPr>
          <w:rFonts w:ascii="Arial" w:hAnsi="Arial" w:cs="Arial"/>
          <w:b/>
          <w:color w:val="FF0000"/>
        </w:rPr>
        <w:t xml:space="preserve">: </w:t>
      </w:r>
      <w:r w:rsidR="00FB6384" w:rsidRPr="00407F6C">
        <w:rPr>
          <w:rFonts w:ascii="Arial" w:hAnsi="Arial" w:cs="Arial"/>
          <w:color w:val="0000FF"/>
        </w:rPr>
        <w:t xml:space="preserve">Claire </w:t>
      </w:r>
      <w:r w:rsidR="00F21D90" w:rsidRPr="00407F6C">
        <w:rPr>
          <w:rFonts w:ascii="Arial" w:hAnsi="Arial" w:cs="Arial"/>
          <w:color w:val="0000FF"/>
        </w:rPr>
        <w:t>Flaujac et Alexandre Butelet</w:t>
      </w:r>
    </w:p>
    <w:p w:rsidR="00ED1FA4" w:rsidRPr="00407F6C" w:rsidRDefault="00ED1FA4" w:rsidP="008D4278">
      <w:pPr>
        <w:jc w:val="both"/>
        <w:rPr>
          <w:bCs/>
          <w:color w:val="0000FF"/>
          <w:u w:val="single"/>
        </w:rPr>
      </w:pPr>
    </w:p>
    <w:p w:rsidR="00ED1FA4" w:rsidRPr="00ED1FA4" w:rsidRDefault="00ED1FA4" w:rsidP="008D4278">
      <w:pPr>
        <w:jc w:val="both"/>
        <w:rPr>
          <w:rFonts w:ascii="Arial" w:hAnsi="Arial" w:cs="Arial"/>
          <w:b/>
          <w:bCs/>
          <w:u w:val="single"/>
        </w:rPr>
      </w:pPr>
      <w:r w:rsidRPr="00ED1FA4">
        <w:rPr>
          <w:rFonts w:ascii="Arial" w:hAnsi="Arial" w:cs="Arial"/>
          <w:b/>
          <w:bCs/>
          <w:u w:val="single"/>
        </w:rPr>
        <w:t xml:space="preserve">Posters </w:t>
      </w:r>
    </w:p>
    <w:p w:rsidR="00ED1FA4" w:rsidRPr="00225AF6" w:rsidRDefault="00ED1FA4" w:rsidP="008D4278">
      <w:pPr>
        <w:jc w:val="both"/>
        <w:rPr>
          <w:rFonts w:ascii="Arial" w:hAnsi="Arial" w:cs="Arial"/>
          <w:b/>
        </w:rPr>
      </w:pPr>
      <w:r w:rsidRPr="00225AF6">
        <w:rPr>
          <w:rFonts w:ascii="Arial" w:hAnsi="Arial" w:cs="Arial"/>
          <w:b/>
        </w:rPr>
        <w:t>PO277 - Déficit en facteur XI et maladies allergiques, existe-il une association ?</w:t>
      </w:r>
    </w:p>
    <w:p w:rsidR="00ED1FA4" w:rsidRPr="00ED1FA4" w:rsidRDefault="00ED1FA4" w:rsidP="008D4278">
      <w:pPr>
        <w:pStyle w:val="Paragraphedeliste"/>
        <w:numPr>
          <w:ilvl w:val="0"/>
          <w:numId w:val="19"/>
        </w:numPr>
        <w:spacing w:after="160" w:line="278" w:lineRule="auto"/>
        <w:contextualSpacing/>
        <w:jc w:val="both"/>
        <w:rPr>
          <w:rFonts w:ascii="Arial" w:hAnsi="Arial" w:cs="Arial"/>
          <w:lang w:val="en-GB"/>
        </w:rPr>
      </w:pPr>
      <w:r w:rsidRPr="00ED1FA4">
        <w:rPr>
          <w:rFonts w:ascii="Arial" w:hAnsi="Arial" w:cs="Arial"/>
          <w:lang w:val="en-GB"/>
        </w:rPr>
        <w:t>R. S. Alesci1*, J. Verheyen2,3, C. E. Dempfle3, W. Miesbach4, A.</w:t>
      </w:r>
      <w:r w:rsidR="00EE0EA0">
        <w:rPr>
          <w:rFonts w:ascii="Arial" w:hAnsi="Arial" w:cs="Arial"/>
          <w:lang w:val="en-GB"/>
        </w:rPr>
        <w:t xml:space="preserve"> Huseynov3,5 1 IMD Blood Coagul</w:t>
      </w:r>
      <w:r w:rsidRPr="00ED1FA4">
        <w:rPr>
          <w:rFonts w:ascii="Arial" w:hAnsi="Arial" w:cs="Arial"/>
          <w:lang w:val="en-GB"/>
        </w:rPr>
        <w:t>ation Center Hochtaunus, Bad Homburg, Germany; 2Institute of Immunogenetics, Kaiserslautern, Germany; 3IMD Blood Coagulation Centre Mannheim, Mannheim, Germany; 4Frankfurt Haemophilia Centre, Goethe University Frankfurt Hospital, Frankfurt, Germany; 5 Department of Medicine, University Medical Centre, Mannheim, Germany</w:t>
      </w:r>
    </w:p>
    <w:p w:rsidR="00ED1FA4" w:rsidRPr="00ED1FA4" w:rsidRDefault="00ED1FA4" w:rsidP="008D4278">
      <w:pPr>
        <w:jc w:val="both"/>
        <w:rPr>
          <w:rFonts w:ascii="Arial" w:hAnsi="Arial" w:cs="Arial"/>
        </w:rPr>
      </w:pPr>
      <w:r w:rsidRPr="00ED1FA4">
        <w:rPr>
          <w:rFonts w:ascii="Arial" w:hAnsi="Arial" w:cs="Arial"/>
          <w:b/>
        </w:rPr>
        <w:t>Introduction :</w:t>
      </w:r>
      <w:r w:rsidRPr="00ED1FA4">
        <w:rPr>
          <w:rFonts w:ascii="Arial" w:hAnsi="Arial" w:cs="Arial"/>
        </w:rPr>
        <w:t xml:space="preserve"> Le facteur XI est un facteur de coagulation unique qui int</w:t>
      </w:r>
      <w:r w:rsidR="00263FA4">
        <w:rPr>
          <w:rFonts w:ascii="Arial" w:hAnsi="Arial" w:cs="Arial"/>
        </w:rPr>
        <w:t>e</w:t>
      </w:r>
      <w:r w:rsidRPr="00ED1FA4">
        <w:rPr>
          <w:rFonts w:ascii="Arial" w:hAnsi="Arial" w:cs="Arial"/>
        </w:rPr>
        <w:t>ragit avec le système ka</w:t>
      </w:r>
      <w:r w:rsidR="00263FA4">
        <w:rPr>
          <w:rFonts w:ascii="Arial" w:hAnsi="Arial" w:cs="Arial"/>
        </w:rPr>
        <w:t>l</w:t>
      </w:r>
      <w:r w:rsidRPr="00ED1FA4">
        <w:rPr>
          <w:rFonts w:ascii="Arial" w:hAnsi="Arial" w:cs="Arial"/>
        </w:rPr>
        <w:t>li</w:t>
      </w:r>
      <w:r w:rsidR="00263FA4">
        <w:rPr>
          <w:rFonts w:ascii="Arial" w:hAnsi="Arial" w:cs="Arial"/>
        </w:rPr>
        <w:t>c</w:t>
      </w:r>
      <w:r w:rsidRPr="00ED1FA4">
        <w:rPr>
          <w:rFonts w:ascii="Arial" w:hAnsi="Arial" w:cs="Arial"/>
        </w:rPr>
        <w:t>réine-kinine. Cette singularité provient du fait que le facteur XI est formé par une duplication du gène KLKB1, qui code pour l</w:t>
      </w:r>
      <w:r w:rsidR="00263FA4">
        <w:rPr>
          <w:rFonts w:ascii="Arial" w:hAnsi="Arial" w:cs="Arial"/>
        </w:rPr>
        <w:t>a</w:t>
      </w:r>
      <w:r w:rsidRPr="00ED1FA4">
        <w:rPr>
          <w:rFonts w:ascii="Arial" w:hAnsi="Arial" w:cs="Arial"/>
        </w:rPr>
        <w:t xml:space="preserve"> préka</w:t>
      </w:r>
      <w:r w:rsidR="00263FA4">
        <w:rPr>
          <w:rFonts w:ascii="Arial" w:hAnsi="Arial" w:cs="Arial"/>
        </w:rPr>
        <w:t>l</w:t>
      </w:r>
      <w:r w:rsidRPr="00ED1FA4">
        <w:rPr>
          <w:rFonts w:ascii="Arial" w:hAnsi="Arial" w:cs="Arial"/>
        </w:rPr>
        <w:t>li</w:t>
      </w:r>
      <w:r w:rsidR="00263FA4">
        <w:rPr>
          <w:rFonts w:ascii="Arial" w:hAnsi="Arial" w:cs="Arial"/>
        </w:rPr>
        <w:t>c</w:t>
      </w:r>
      <w:r w:rsidRPr="00ED1FA4">
        <w:rPr>
          <w:rFonts w:ascii="Arial" w:hAnsi="Arial" w:cs="Arial"/>
        </w:rPr>
        <w:t>réine plasmatique. La réduction de l'activité du facteur XI peut-elle être associée à d'autres fonctions physiologiques, comme le système kal</w:t>
      </w:r>
      <w:r w:rsidR="00263FA4">
        <w:rPr>
          <w:rFonts w:ascii="Arial" w:hAnsi="Arial" w:cs="Arial"/>
        </w:rPr>
        <w:t>l</w:t>
      </w:r>
      <w:r w:rsidRPr="00ED1FA4">
        <w:rPr>
          <w:rFonts w:ascii="Arial" w:hAnsi="Arial" w:cs="Arial"/>
        </w:rPr>
        <w:t>i</w:t>
      </w:r>
      <w:r w:rsidR="00263FA4">
        <w:rPr>
          <w:rFonts w:ascii="Arial" w:hAnsi="Arial" w:cs="Arial"/>
        </w:rPr>
        <w:t>c</w:t>
      </w:r>
      <w:r w:rsidRPr="00ED1FA4">
        <w:rPr>
          <w:rFonts w:ascii="Arial" w:hAnsi="Arial" w:cs="Arial"/>
        </w:rPr>
        <w:t>réine-kinine.</w:t>
      </w:r>
    </w:p>
    <w:p w:rsidR="00ED1FA4" w:rsidRPr="00ED1FA4" w:rsidRDefault="00ED1FA4" w:rsidP="008D4278">
      <w:pPr>
        <w:jc w:val="both"/>
        <w:rPr>
          <w:rFonts w:ascii="Arial" w:hAnsi="Arial" w:cs="Arial"/>
        </w:rPr>
      </w:pPr>
      <w:r w:rsidRPr="00ED1FA4">
        <w:rPr>
          <w:rFonts w:ascii="Arial" w:hAnsi="Arial" w:cs="Arial"/>
          <w:b/>
        </w:rPr>
        <w:t>Méthodes :</w:t>
      </w:r>
      <w:r w:rsidRPr="00ED1FA4">
        <w:rPr>
          <w:rFonts w:ascii="Arial" w:hAnsi="Arial" w:cs="Arial"/>
        </w:rPr>
        <w:t xml:space="preserve"> Etude de cohorte multicentrique rétrospective, incluant des données sur les corrélations génotype-phénotype, l'ISTH-BAT, les niveaux de FXI et les comorbidités (2018-2024). La base de données génétiques contenait des informations sur l'emplacement des mutations dans l'ADN et les domaines affectés de la protéine facteur XI.</w:t>
      </w:r>
    </w:p>
    <w:p w:rsidR="00ED1FA4" w:rsidRPr="00ED1FA4" w:rsidRDefault="00ED1FA4" w:rsidP="008D4278">
      <w:pPr>
        <w:jc w:val="both"/>
        <w:rPr>
          <w:rFonts w:ascii="Arial" w:hAnsi="Arial" w:cs="Arial"/>
        </w:rPr>
      </w:pPr>
      <w:r w:rsidRPr="00ED1FA4">
        <w:rPr>
          <w:rFonts w:ascii="Arial" w:hAnsi="Arial" w:cs="Arial"/>
          <w:b/>
        </w:rPr>
        <w:t>Résultats :</w:t>
      </w:r>
      <w:r w:rsidRPr="00ED1FA4">
        <w:rPr>
          <w:rFonts w:ascii="Arial" w:hAnsi="Arial" w:cs="Arial"/>
        </w:rPr>
        <w:t xml:space="preserve"> Au total, 66 patients (81 % de femmes) ayant une diminution du FXI ont été inclus avec des mutations </w:t>
      </w:r>
      <w:r w:rsidR="00263FA4">
        <w:rPr>
          <w:rFonts w:ascii="Arial" w:hAnsi="Arial" w:cs="Arial"/>
        </w:rPr>
        <w:t>identifiées</w:t>
      </w:r>
      <w:r w:rsidRPr="00ED1FA4">
        <w:rPr>
          <w:rFonts w:ascii="Arial" w:hAnsi="Arial" w:cs="Arial"/>
        </w:rPr>
        <w:t xml:space="preserve"> dans le gène du FXI. La plupart des patients avaient un déficit modéré, avec une médiane de FXI de 43 % (écart-type 11,3, IC 40,0–45,4). Les symptômes hémorragiques ont été évalués à l'aide du score ISTH, avec un score moyen de 1,8. Aucune corrélation statistiquement significative n'a été trouvée entre la gravité des symptômes hémorragiques et l'activité du facteur XI (p = 0,3793). En ce qui concerne les comorbidités, des allergies ont été observées chez 37,88 % des patients (n = 25). L'hypothyroïdie était présente chez 24,24 % des patients. Une combinaison d'allergies et/ou d'hypothyroïdie a été notée chez plus de la moitié des patients (54,55 %, n = 36). L'analyse des mutations détectées chez les patients avec allergies/hypothyroïdie a révélé que les mutations dans le domaine de la sérine protéase étaient significativement associées aux deux conditions (20/28 patients, 71 %, avec des mutations de la sérine protéase). Des allergies ont été détectées chez la moitié des patients présentant des mutations dans le domaine Apple 2 (9/18 patients, 50 %), tandis que le domaine Apple 4 était associé à une hypothyroïdie (4/9 patients, 44,5 %). Les patients ayant des mutations dans les domaines Apple 1 et 3 n'avaient pas d'allergies. Les patients souffrant d'un déficit en FXI et ayant également des allergies présentaient une tendance au saignement plus élevée que ceux sans ces comorbidités (score de saignement ISTH 2,13 contre 1,43 ; p = 0,055).</w:t>
      </w:r>
    </w:p>
    <w:p w:rsidR="00ED1FA4" w:rsidRPr="00ED1FA4" w:rsidRDefault="00ED1FA4" w:rsidP="008D4278">
      <w:pPr>
        <w:jc w:val="both"/>
        <w:rPr>
          <w:rFonts w:ascii="Arial" w:hAnsi="Arial" w:cs="Arial"/>
        </w:rPr>
      </w:pPr>
      <w:r w:rsidRPr="00ED1FA4">
        <w:rPr>
          <w:rFonts w:ascii="Arial" w:hAnsi="Arial" w:cs="Arial"/>
          <w:b/>
        </w:rPr>
        <w:t>Discussion/Conclusion (des auteurs) :</w:t>
      </w:r>
      <w:r w:rsidRPr="00ED1FA4">
        <w:rPr>
          <w:rFonts w:ascii="Arial" w:hAnsi="Arial" w:cs="Arial"/>
        </w:rPr>
        <w:t xml:space="preserve"> Les patients souffrant d’un déficit en FXI présentent des taux d'allergies et d'hypothyroïdie significativement plus élevés. </w:t>
      </w:r>
      <w:r w:rsidRPr="00ED1FA4">
        <w:rPr>
          <w:rFonts w:ascii="Arial" w:hAnsi="Arial" w:cs="Arial"/>
        </w:rPr>
        <w:lastRenderedPageBreak/>
        <w:t>L'apparition des allergies est liée au domaine spécifique du FXI affecté par la mutation et elle est souvent accompagnée de symptômes de saignement plus important.</w:t>
      </w:r>
    </w:p>
    <w:p w:rsidR="00ED1FA4" w:rsidRPr="00ED1FA4" w:rsidRDefault="00ED1FA4" w:rsidP="008D4278">
      <w:pPr>
        <w:jc w:val="both"/>
        <w:rPr>
          <w:rFonts w:ascii="Arial" w:hAnsi="Arial" w:cs="Arial"/>
        </w:rPr>
      </w:pPr>
      <w:r w:rsidRPr="00ED1FA4">
        <w:rPr>
          <w:rFonts w:ascii="Arial" w:hAnsi="Arial" w:cs="Arial"/>
          <w:b/>
        </w:rPr>
        <w:t>Commentaire :</w:t>
      </w:r>
      <w:r w:rsidRPr="00ED1FA4">
        <w:rPr>
          <w:rFonts w:ascii="Arial" w:hAnsi="Arial" w:cs="Arial"/>
        </w:rPr>
        <w:t xml:space="preserve"> données/symptômes inhabituels sur le FXI. Pas de papier encore publié à ce jour avec ses informations par cette équipe.</w:t>
      </w:r>
    </w:p>
    <w:p w:rsidR="00ED1FA4" w:rsidRPr="00ED1FA4" w:rsidRDefault="00ED1FA4" w:rsidP="008D4278">
      <w:pPr>
        <w:jc w:val="both"/>
        <w:rPr>
          <w:rFonts w:ascii="Arial" w:hAnsi="Arial" w:cs="Arial"/>
          <w:b/>
        </w:rPr>
      </w:pPr>
      <w:r w:rsidRPr="00ED1FA4">
        <w:rPr>
          <w:rFonts w:ascii="Arial" w:hAnsi="Arial" w:cs="Arial"/>
          <w:b/>
        </w:rPr>
        <w:t>Avis du Pr de Mazancourt sollicité pour un commentaire</w:t>
      </w:r>
      <w:r w:rsidR="00263FA4">
        <w:rPr>
          <w:rFonts w:ascii="Arial" w:hAnsi="Arial" w:cs="Arial"/>
          <w:b/>
        </w:rPr>
        <w:t xml:space="preserve"> </w:t>
      </w:r>
      <w:r w:rsidRPr="00ED1FA4">
        <w:rPr>
          <w:rFonts w:ascii="Arial" w:hAnsi="Arial" w:cs="Arial"/>
          <w:b/>
        </w:rPr>
        <w:t>:</w:t>
      </w:r>
    </w:p>
    <w:p w:rsidR="00ED1FA4" w:rsidRPr="00ED1FA4" w:rsidRDefault="00ED1FA4" w:rsidP="008D4278">
      <w:pPr>
        <w:numPr>
          <w:ilvl w:val="0"/>
          <w:numId w:val="18"/>
        </w:numPr>
        <w:spacing w:after="160" w:line="278" w:lineRule="auto"/>
        <w:jc w:val="both"/>
        <w:rPr>
          <w:rFonts w:ascii="Arial" w:hAnsi="Arial" w:cs="Arial"/>
        </w:rPr>
      </w:pPr>
      <w:r w:rsidRPr="00ED1FA4">
        <w:rPr>
          <w:rFonts w:ascii="Arial" w:hAnsi="Arial" w:cs="Arial"/>
        </w:rPr>
        <w:t>Le lien physiopathologique proposé (interaction avec le système kalli</w:t>
      </w:r>
      <w:r w:rsidR="00263FA4">
        <w:rPr>
          <w:rFonts w:ascii="Arial" w:hAnsi="Arial" w:cs="Arial"/>
        </w:rPr>
        <w:t>c</w:t>
      </w:r>
      <w:r w:rsidRPr="00ED1FA4">
        <w:rPr>
          <w:rFonts w:ascii="Arial" w:hAnsi="Arial" w:cs="Arial"/>
        </w:rPr>
        <w:t>réine) est très intéressant!</w:t>
      </w:r>
    </w:p>
    <w:p w:rsidR="00ED1FA4" w:rsidRPr="00ED1FA4" w:rsidRDefault="00ED1FA4" w:rsidP="008D4278">
      <w:pPr>
        <w:numPr>
          <w:ilvl w:val="0"/>
          <w:numId w:val="18"/>
        </w:numPr>
        <w:spacing w:after="160" w:line="278" w:lineRule="auto"/>
        <w:jc w:val="both"/>
        <w:rPr>
          <w:rFonts w:ascii="Arial" w:hAnsi="Arial" w:cs="Arial"/>
        </w:rPr>
      </w:pPr>
      <w:r w:rsidRPr="00ED1FA4">
        <w:rPr>
          <w:rFonts w:ascii="Arial" w:hAnsi="Arial" w:cs="Arial"/>
        </w:rPr>
        <w:t xml:space="preserve">Je n’ai pas les moyens de vérifier, cette information dans notre base de données </w:t>
      </w:r>
      <w:r w:rsidRPr="00ED1FA4">
        <w:rPr>
          <w:rFonts w:ascii="Arial" w:hAnsi="Arial" w:cs="Arial"/>
        </w:rPr>
        <w:sym w:font="Wingdings" w:char="F0E0"/>
      </w:r>
      <w:r w:rsidRPr="00ED1FA4">
        <w:rPr>
          <w:rFonts w:ascii="Arial" w:hAnsi="Arial" w:cs="Arial"/>
        </w:rPr>
        <w:t xml:space="preserve"> trop peu d’informations cliniques avec les demandes de génétiques (+/- score ISTH BAT). </w:t>
      </w:r>
    </w:p>
    <w:p w:rsidR="00ED1FA4" w:rsidRPr="00ED1FA4" w:rsidRDefault="00ED1FA4" w:rsidP="008D4278">
      <w:pPr>
        <w:numPr>
          <w:ilvl w:val="0"/>
          <w:numId w:val="18"/>
        </w:numPr>
        <w:spacing w:after="160" w:line="278" w:lineRule="auto"/>
        <w:jc w:val="both"/>
        <w:rPr>
          <w:rFonts w:ascii="Arial" w:hAnsi="Arial" w:cs="Arial"/>
        </w:rPr>
      </w:pPr>
      <w:r w:rsidRPr="00ED1FA4">
        <w:rPr>
          <w:rFonts w:ascii="Arial" w:hAnsi="Arial" w:cs="Arial"/>
        </w:rPr>
        <w:t>« </w:t>
      </w:r>
      <w:r w:rsidRPr="00ED1FA4">
        <w:rPr>
          <w:rFonts w:ascii="Arial" w:hAnsi="Arial" w:cs="Arial"/>
          <w:b/>
          <w:bCs/>
          <w:i/>
          <w:iCs/>
        </w:rPr>
        <w:t>Pour le lien "structure-fonction" avec les domaines Apple ou autres de la protéine, je n'adhère pas trop à leur interprétation</w:t>
      </w:r>
      <w:r w:rsidRPr="00ED1FA4">
        <w:rPr>
          <w:rFonts w:ascii="Arial" w:hAnsi="Arial" w:cs="Arial"/>
          <w:i/>
          <w:iCs/>
        </w:rPr>
        <w:t>.</w:t>
      </w:r>
    </w:p>
    <w:p w:rsidR="00ED1FA4" w:rsidRPr="00ED1FA4" w:rsidRDefault="00ED1FA4" w:rsidP="008D4278">
      <w:pPr>
        <w:numPr>
          <w:ilvl w:val="0"/>
          <w:numId w:val="18"/>
        </w:numPr>
        <w:spacing w:after="160" w:line="278" w:lineRule="auto"/>
        <w:jc w:val="both"/>
        <w:rPr>
          <w:rFonts w:ascii="Arial" w:hAnsi="Arial" w:cs="Arial"/>
        </w:rPr>
      </w:pPr>
      <w:r w:rsidRPr="00ED1FA4">
        <w:rPr>
          <w:rFonts w:ascii="Arial" w:hAnsi="Arial" w:cs="Arial"/>
          <w:b/>
          <w:bCs/>
          <w:i/>
          <w:iCs/>
        </w:rPr>
        <w:t>La quasi-totalité des déficits en XI s'accompagne de la destruction, ou en tous cas de l'absence de sécrétion, du variant</w:t>
      </w:r>
      <w:r w:rsidRPr="00ED1FA4">
        <w:rPr>
          <w:rFonts w:ascii="Arial" w:hAnsi="Arial" w:cs="Arial"/>
          <w:i/>
          <w:iCs/>
        </w:rPr>
        <w:t xml:space="preserve">. </w:t>
      </w:r>
      <w:r w:rsidRPr="00ED1FA4">
        <w:rPr>
          <w:rFonts w:ascii="Arial" w:hAnsi="Arial" w:cs="Arial"/>
          <w:b/>
          <w:bCs/>
          <w:i/>
          <w:iCs/>
        </w:rPr>
        <w:t>On voit mal comment une même conséquence (absence de sécrétion) pourrait avoir des effets différents en fonction du variant.</w:t>
      </w:r>
    </w:p>
    <w:p w:rsidR="00ED1FA4" w:rsidRPr="00ED1FA4" w:rsidRDefault="00ED1FA4" w:rsidP="008D4278">
      <w:pPr>
        <w:numPr>
          <w:ilvl w:val="0"/>
          <w:numId w:val="18"/>
        </w:numPr>
        <w:spacing w:after="160" w:line="278" w:lineRule="auto"/>
        <w:jc w:val="both"/>
        <w:rPr>
          <w:rFonts w:ascii="Arial" w:hAnsi="Arial" w:cs="Arial"/>
        </w:rPr>
      </w:pPr>
      <w:r w:rsidRPr="00ED1FA4">
        <w:rPr>
          <w:rFonts w:ascii="Arial" w:hAnsi="Arial" w:cs="Arial"/>
          <w:b/>
          <w:bCs/>
          <w:i/>
          <w:iCs/>
        </w:rPr>
        <w:t>Mais ça aussi, ça mérite d'être clarifié, même si c'est pour dire le contraire</w:t>
      </w:r>
      <w:r w:rsidRPr="00ED1FA4">
        <w:rPr>
          <w:rFonts w:ascii="Arial" w:hAnsi="Arial" w:cs="Arial"/>
          <w:i/>
          <w:iCs/>
        </w:rPr>
        <w:t> »</w:t>
      </w:r>
    </w:p>
    <w:p w:rsidR="00ED1FA4" w:rsidRPr="00ED1FA4" w:rsidRDefault="00ED1FA4" w:rsidP="008D4278">
      <w:pPr>
        <w:jc w:val="both"/>
        <w:rPr>
          <w:rFonts w:ascii="Arial" w:hAnsi="Arial" w:cs="Arial"/>
          <w:b/>
          <w:bCs/>
        </w:rPr>
      </w:pPr>
    </w:p>
    <w:p w:rsidR="00ED1FA4" w:rsidRPr="00225AF6" w:rsidRDefault="00ED1FA4" w:rsidP="008D4278">
      <w:pPr>
        <w:jc w:val="both"/>
        <w:rPr>
          <w:rFonts w:ascii="Arial" w:hAnsi="Arial" w:cs="Arial"/>
          <w:b/>
        </w:rPr>
      </w:pPr>
      <w:r w:rsidRPr="00225AF6">
        <w:rPr>
          <w:rFonts w:ascii="Arial" w:hAnsi="Arial" w:cs="Arial"/>
          <w:b/>
        </w:rPr>
        <w:t xml:space="preserve">PO241 – Syndrome de Willebrand acquis </w:t>
      </w:r>
      <w:r w:rsidR="00225AF6">
        <w:rPr>
          <w:rFonts w:ascii="Arial" w:hAnsi="Arial" w:cs="Arial"/>
          <w:b/>
        </w:rPr>
        <w:t xml:space="preserve">(AVWS) </w:t>
      </w:r>
      <w:r w:rsidRPr="00225AF6">
        <w:rPr>
          <w:rFonts w:ascii="Arial" w:hAnsi="Arial" w:cs="Arial"/>
          <w:b/>
        </w:rPr>
        <w:t>et sa caractérisation clinico-biologique.</w:t>
      </w:r>
    </w:p>
    <w:p w:rsidR="00ED1FA4" w:rsidRPr="00ED1FA4" w:rsidRDefault="00ED1FA4" w:rsidP="008D4278">
      <w:pPr>
        <w:pStyle w:val="Paragraphedeliste"/>
        <w:numPr>
          <w:ilvl w:val="0"/>
          <w:numId w:val="19"/>
        </w:numPr>
        <w:spacing w:after="160" w:line="278" w:lineRule="auto"/>
        <w:contextualSpacing/>
        <w:jc w:val="both"/>
        <w:rPr>
          <w:rFonts w:ascii="Arial" w:hAnsi="Arial" w:cs="Arial"/>
          <w:lang w:val="en-GB"/>
        </w:rPr>
      </w:pPr>
      <w:r w:rsidRPr="00ED1FA4">
        <w:rPr>
          <w:rFonts w:ascii="Arial" w:hAnsi="Arial" w:cs="Arial"/>
          <w:lang w:val="en-GB"/>
        </w:rPr>
        <w:t>Ciavarella1,*, O. Seidizadeh2, P. Colpani1</w:t>
      </w:r>
      <w:r w:rsidR="00225AF6">
        <w:rPr>
          <w:rFonts w:ascii="Arial" w:hAnsi="Arial" w:cs="Arial"/>
          <w:lang w:val="en-GB"/>
        </w:rPr>
        <w:t xml:space="preserve"> , G. Cozzi1 , A. Iurlo3, M. T. Pagliari1 , </w:t>
      </w:r>
      <w:r w:rsidRPr="00ED1FA4">
        <w:rPr>
          <w:rFonts w:ascii="Arial" w:hAnsi="Arial" w:cs="Arial"/>
          <w:lang w:val="en-GB"/>
        </w:rPr>
        <w:t>S. M. Siboni1 , L. Baronciani1 , F. Peyvandi1,2 1 Angelo Bianchi Bonomi Hemophilia and Thrombosis Center, Fondazione IRCCS Ca’ Granda Ospedale Maggiore Policlinico, Milan, Italy; 2Department of Pathophysiology and Transplantation, University of Milan, Milan, Italy; 3Hematology Division, Foundation IRCCS Ca’ Granda Ospedale Maggiore Policlinico, Milan, Italy</w:t>
      </w:r>
    </w:p>
    <w:p w:rsidR="00ED1FA4" w:rsidRPr="00ED1FA4" w:rsidRDefault="00ED1FA4" w:rsidP="008D4278">
      <w:pPr>
        <w:jc w:val="both"/>
        <w:rPr>
          <w:rFonts w:ascii="Arial" w:hAnsi="Arial" w:cs="Arial"/>
        </w:rPr>
      </w:pPr>
      <w:r w:rsidRPr="00ED1FA4">
        <w:rPr>
          <w:rFonts w:ascii="Arial" w:hAnsi="Arial" w:cs="Arial"/>
          <w:b/>
        </w:rPr>
        <w:t>Méthodes :</w:t>
      </w:r>
      <w:r w:rsidR="00225AF6">
        <w:rPr>
          <w:rFonts w:ascii="Arial" w:hAnsi="Arial" w:cs="Arial"/>
        </w:rPr>
        <w:t xml:space="preserve"> Evaluation rétrospective</w:t>
      </w:r>
      <w:r w:rsidRPr="00ED1FA4">
        <w:rPr>
          <w:rFonts w:ascii="Arial" w:hAnsi="Arial" w:cs="Arial"/>
        </w:rPr>
        <w:t xml:space="preserve"> de tous les patients ayant un diagnostic confirmé de AVWS référés à notre Centre entre le 1er janvier 2014 et le 18 octobre 2024. Les données cliniques telles que la maladie sous-jacente et la gravité des hémorragies, quantifiées à l'aide du score ISTH-BAT, ont été extraites des dossiers médicaux. Les paramètres de laboratoire tels que l'activité coagulante du facteur VIII (FVIII:C), l'antigène VWF (VWF:Ag) et l'activité (VWF:GpIbR et VWF:RCo), la liaison du collagène VWF (VWF:CB), le rapport propeptide VWF à l'antigène (VWFpp/Ag) et la distribution des multimères de VWF ont été collectés. Les données ont été rapportées en médiane (plage interquartile). Les corrélations entre l'ISTH-BAT et les paramètres de laboratoire ont été évaluées à l'aide du coefficient de corrélation de Pearson.</w:t>
      </w:r>
    </w:p>
    <w:p w:rsidR="00ED1FA4" w:rsidRPr="00ED1FA4" w:rsidRDefault="00ED1FA4" w:rsidP="008D4278">
      <w:pPr>
        <w:jc w:val="both"/>
        <w:rPr>
          <w:rFonts w:ascii="Arial" w:hAnsi="Arial" w:cs="Arial"/>
        </w:rPr>
      </w:pPr>
      <w:r w:rsidRPr="00ED1FA4">
        <w:rPr>
          <w:rFonts w:ascii="Arial" w:hAnsi="Arial" w:cs="Arial"/>
          <w:b/>
        </w:rPr>
        <w:t>Résultats :</w:t>
      </w:r>
      <w:r w:rsidRPr="00ED1FA4">
        <w:rPr>
          <w:rFonts w:ascii="Arial" w:hAnsi="Arial" w:cs="Arial"/>
        </w:rPr>
        <w:t xml:space="preserve"> Un total de 94 patients atteints d'AVWS ont été inclus. Parmi eux, 90 % avaient une maladie hématologique concomitante, avec 65 % ayant des troubles lymphoprolifératifs ou myéloprolifératifs, 23 % avec une gammapathie (MGUS, myélome multiple ou macroglobulinémie de Waldenst</w:t>
      </w:r>
      <w:r w:rsidR="00225AF6">
        <w:rPr>
          <w:rFonts w:ascii="Arial" w:hAnsi="Arial" w:cs="Arial"/>
        </w:rPr>
        <w:t>röm) et 2 % ayant une amylose</w:t>
      </w:r>
      <w:r w:rsidRPr="00ED1FA4">
        <w:rPr>
          <w:rFonts w:ascii="Arial" w:hAnsi="Arial" w:cs="Arial"/>
        </w:rPr>
        <w:t xml:space="preserve">. Selon l'ISTH-BAT, des saignements anormaux ont été observés chez 31 % des patients, avec un score médian ISTH-BAT de 3 (0,5–4,5). Les valeurs de laboratoire médianes étaient : FVIII:C 75 % (43,3–95), VWF:Ag 73,5 % (30–102), VWF:GpIbR </w:t>
      </w:r>
      <w:r w:rsidR="00225AF6">
        <w:rPr>
          <w:rFonts w:ascii="Arial" w:hAnsi="Arial" w:cs="Arial"/>
        </w:rPr>
        <w:t xml:space="preserve"> </w:t>
      </w:r>
      <w:r w:rsidRPr="00ED1FA4">
        <w:rPr>
          <w:rFonts w:ascii="Arial" w:hAnsi="Arial" w:cs="Arial"/>
        </w:rPr>
        <w:t xml:space="preserve">21 </w:t>
      </w:r>
      <w:r w:rsidRPr="00ED1FA4">
        <w:rPr>
          <w:rFonts w:ascii="Arial" w:hAnsi="Arial" w:cs="Arial"/>
        </w:rPr>
        <w:lastRenderedPageBreak/>
        <w:t>% (11–33), VWF:RCo 44,5 % (30,4–60,9), VWF:CB 61 % (42,5–78) et VWFpp/Ag 1,26 (0,95–2,82). La plupart des patients (91 %) avaient différents degrés de diminution quantitative des multimères de haute masse moléculaire. L'analyse de corrélation a montré que VWF:CB avait la corrélation négative la plus forte avec le Score ISTH-BAT (r = -0,48). FVIII:C (r = -0,43), VWF:GpIbR (r = -0,40) et VWF:RCo (r = -0,34).</w:t>
      </w:r>
    </w:p>
    <w:p w:rsidR="00ED1FA4" w:rsidRPr="00ED1FA4" w:rsidRDefault="00ED1FA4" w:rsidP="008D4278">
      <w:pPr>
        <w:jc w:val="both"/>
        <w:rPr>
          <w:rFonts w:ascii="Arial" w:hAnsi="Arial" w:cs="Arial"/>
        </w:rPr>
      </w:pPr>
      <w:r w:rsidRPr="00ED1FA4">
        <w:rPr>
          <w:rFonts w:ascii="Arial" w:hAnsi="Arial" w:cs="Arial"/>
          <w:b/>
        </w:rPr>
        <w:t>Discussion/Conclusion (des auteurs):</w:t>
      </w:r>
      <w:r w:rsidRPr="00ED1FA4">
        <w:rPr>
          <w:rFonts w:ascii="Arial" w:hAnsi="Arial" w:cs="Arial"/>
        </w:rPr>
        <w:t xml:space="preserve"> Nos résultats suggèrent que VWF:CB pourrait être le meilleur prédicteur des saignements chez les patients atteints d'AVWS. Cela suggère l'importance potentielle d'évaluer régulièrement les niveaux de VWF:CB chez les patients atteints de maladies hématologiques soupçonnés d'AVWS, car cela pourrait aider à mieux prédire le risque hémorragique et à orienter les stratégies de traitement.</w:t>
      </w:r>
    </w:p>
    <w:p w:rsidR="00ED1FA4" w:rsidRPr="00ED1FA4" w:rsidRDefault="00ED1FA4" w:rsidP="008D4278">
      <w:pPr>
        <w:jc w:val="both"/>
        <w:rPr>
          <w:rFonts w:ascii="Arial" w:hAnsi="Arial" w:cs="Arial"/>
        </w:rPr>
      </w:pPr>
      <w:r w:rsidRPr="00ED1FA4">
        <w:rPr>
          <w:rFonts w:ascii="Arial" w:hAnsi="Arial" w:cs="Arial"/>
          <w:b/>
        </w:rPr>
        <w:t>Commentaire :</w:t>
      </w:r>
      <w:r w:rsidRPr="00ED1FA4">
        <w:rPr>
          <w:rFonts w:ascii="Arial" w:hAnsi="Arial" w:cs="Arial"/>
        </w:rPr>
        <w:t xml:space="preserve"> Cohorte importante, à ce jour, encore non publiée. Pas de cause cardiaque d’AVWS dans cette cohorte et pourtant les anomalies multimériques sont  importantes </w:t>
      </w:r>
      <w:r w:rsidRPr="00ED1FA4">
        <w:rPr>
          <w:rFonts w:ascii="Arial" w:hAnsi="Arial" w:cs="Arial"/>
        </w:rPr>
        <w:sym w:font="Wingdings" w:char="F0E0"/>
      </w:r>
      <w:r w:rsidRPr="00ED1FA4">
        <w:rPr>
          <w:rFonts w:ascii="Arial" w:hAnsi="Arial" w:cs="Arial"/>
        </w:rPr>
        <w:t xml:space="preserve"> à la lecture du PNDS 2025 (</w:t>
      </w:r>
      <w:r w:rsidRPr="00ED1FA4">
        <w:rPr>
          <w:rFonts w:ascii="Arial" w:hAnsi="Arial" w:cs="Arial"/>
          <w:color w:val="595959"/>
          <w:shd w:val="clear" w:color="auto" w:fill="FFFFFF"/>
        </w:rPr>
        <w:t xml:space="preserve">Mis en ligne le 16 mai 2025 ; </w:t>
      </w:r>
      <w:hyperlink r:id="rId8" w:history="1">
        <w:r w:rsidRPr="00ED1FA4">
          <w:rPr>
            <w:rStyle w:val="Lienhypertexte"/>
            <w:rFonts w:ascii="Arial" w:hAnsi="Arial" w:cs="Arial"/>
            <w:shd w:val="clear" w:color="auto" w:fill="FFFFFF"/>
          </w:rPr>
          <w:t>https://www.has-sante.fr/jcms/p_3602131/fr/syndromes-de-willebrand-acquis#</w:t>
        </w:r>
      </w:hyperlink>
      <w:r w:rsidRPr="00ED1FA4">
        <w:rPr>
          <w:rFonts w:ascii="Arial" w:hAnsi="Arial" w:cs="Arial"/>
          <w:color w:val="595959"/>
          <w:shd w:val="clear" w:color="auto" w:fill="FFFFFF"/>
        </w:rPr>
        <w:t xml:space="preserve">) </w:t>
      </w:r>
      <w:r w:rsidRPr="00ED1FA4">
        <w:rPr>
          <w:rFonts w:ascii="Arial" w:hAnsi="Arial" w:cs="Arial"/>
        </w:rPr>
        <w:t>sur le Willebrand acquis le dosage du Collagène Binding reste un examen de seconde intention.</w:t>
      </w:r>
    </w:p>
    <w:p w:rsidR="00ED1FA4" w:rsidRPr="00ED1FA4" w:rsidRDefault="00ED1FA4" w:rsidP="008D4278">
      <w:pPr>
        <w:jc w:val="both"/>
        <w:rPr>
          <w:rFonts w:ascii="Arial" w:hAnsi="Arial" w:cs="Arial"/>
        </w:rPr>
      </w:pPr>
    </w:p>
    <w:p w:rsidR="00ED1FA4" w:rsidRPr="00225AF6" w:rsidRDefault="00ED1FA4" w:rsidP="008D4278">
      <w:pPr>
        <w:jc w:val="both"/>
        <w:rPr>
          <w:rFonts w:ascii="Arial" w:hAnsi="Arial" w:cs="Arial"/>
          <w:b/>
          <w:i/>
          <w:iCs/>
        </w:rPr>
      </w:pPr>
      <w:r w:rsidRPr="00225AF6">
        <w:rPr>
          <w:rFonts w:ascii="Arial" w:hAnsi="Arial" w:cs="Arial"/>
          <w:b/>
          <w:u w:val="single"/>
        </w:rPr>
        <w:t>PO062</w:t>
      </w:r>
      <w:r w:rsidRPr="00225AF6">
        <w:rPr>
          <w:rFonts w:ascii="Arial" w:hAnsi="Arial" w:cs="Arial"/>
          <w:b/>
        </w:rPr>
        <w:t xml:space="preserve"> - Étude rétrospective évaluant les discordances des dosages de facteur VIII par méthode chronométrique (OSA) versus chromogénique (CSA) chez les conductrices d’hémophilie A.</w:t>
      </w:r>
      <w:r w:rsidRPr="00225AF6">
        <w:rPr>
          <w:rFonts w:ascii="Arial" w:hAnsi="Arial" w:cs="Arial"/>
          <w:b/>
          <w:i/>
          <w:iCs/>
        </w:rPr>
        <w:t xml:space="preserve"> </w:t>
      </w:r>
    </w:p>
    <w:p w:rsidR="00ED1FA4" w:rsidRPr="00ED1FA4" w:rsidRDefault="00ED1FA4" w:rsidP="008D4278">
      <w:pPr>
        <w:pStyle w:val="Paragraphedeliste"/>
        <w:numPr>
          <w:ilvl w:val="0"/>
          <w:numId w:val="19"/>
        </w:numPr>
        <w:spacing w:after="160" w:line="278" w:lineRule="auto"/>
        <w:contextualSpacing/>
        <w:jc w:val="both"/>
        <w:rPr>
          <w:rFonts w:ascii="Arial" w:hAnsi="Arial" w:cs="Arial"/>
          <w:lang w:val="en-GB"/>
        </w:rPr>
      </w:pPr>
      <w:r w:rsidRPr="00ED1FA4">
        <w:rPr>
          <w:rFonts w:ascii="Arial" w:hAnsi="Arial" w:cs="Arial"/>
          <w:lang w:val="en-GB"/>
        </w:rPr>
        <w:t>Y. Dargaud1,*, S. Desage1 , A. Lienhart1 , M. Janbain2, H. Rezigue1 , A. Leuci1 1 Hemosatsis &amp; Thrombosis, Hospices Civils de Lyon, Lyon, France; 2Hematology, Tulane School of Medicine, New Orleans, USA</w:t>
      </w:r>
    </w:p>
    <w:p w:rsidR="00ED1FA4" w:rsidRPr="00ED1FA4" w:rsidRDefault="00ED1FA4" w:rsidP="008D4278">
      <w:pPr>
        <w:jc w:val="both"/>
        <w:rPr>
          <w:rFonts w:ascii="Arial" w:hAnsi="Arial" w:cs="Arial"/>
        </w:rPr>
      </w:pPr>
      <w:r w:rsidRPr="00ED1FA4">
        <w:rPr>
          <w:rFonts w:ascii="Arial" w:hAnsi="Arial" w:cs="Arial"/>
        </w:rPr>
        <w:t>Parmi les 109 conductrices participant à cette étude, 45 avaient un phénotype hémorragique parmi lesquelles 17 avaient des dosages discordants statistiquement significatifs et pour lesquelles l’OSA était compris entre 40 et 60%. Ces dernières pouvaient être reclassées en hémophile A mineure par CSA. Une révision diagnostique à nuancer néanmoins compte tenu de la nouvelle nomenclature chez les conductrices qui est indépendante du taux de facteur VIII.  Cette étude a été publiée dans le JTH en mars 2025.</w:t>
      </w:r>
    </w:p>
    <w:p w:rsidR="00ED1FA4" w:rsidRPr="00ED1FA4" w:rsidRDefault="00ED1FA4" w:rsidP="008D4278">
      <w:pPr>
        <w:jc w:val="both"/>
        <w:rPr>
          <w:rFonts w:ascii="Arial" w:hAnsi="Arial" w:cs="Arial"/>
        </w:rPr>
      </w:pPr>
    </w:p>
    <w:p w:rsidR="00ED1FA4" w:rsidRPr="00ED1FA4" w:rsidRDefault="00ED1FA4" w:rsidP="008D4278">
      <w:pPr>
        <w:jc w:val="both"/>
        <w:rPr>
          <w:rFonts w:ascii="Arial" w:hAnsi="Arial" w:cs="Arial"/>
        </w:rPr>
      </w:pPr>
      <w:r w:rsidRPr="00225AF6">
        <w:rPr>
          <w:rFonts w:ascii="Arial" w:hAnsi="Arial" w:cs="Arial"/>
          <w:b/>
        </w:rPr>
        <w:t>PO015 - Amélioration du diagnostic d’hémophilie A mineure par dosage chromogénique du facteur VIII avec une durée d’incubation augmentée</w:t>
      </w:r>
      <w:r w:rsidRPr="00ED1FA4">
        <w:rPr>
          <w:rFonts w:ascii="Arial" w:hAnsi="Arial" w:cs="Arial"/>
        </w:rPr>
        <w:t>.</w:t>
      </w:r>
    </w:p>
    <w:p w:rsidR="00ED1FA4" w:rsidRPr="00ED1FA4" w:rsidRDefault="00ED1FA4" w:rsidP="008D4278">
      <w:pPr>
        <w:pStyle w:val="Paragraphedeliste"/>
        <w:numPr>
          <w:ilvl w:val="0"/>
          <w:numId w:val="19"/>
        </w:numPr>
        <w:spacing w:after="160" w:line="278" w:lineRule="auto"/>
        <w:contextualSpacing/>
        <w:jc w:val="both"/>
        <w:rPr>
          <w:rFonts w:ascii="Arial" w:hAnsi="Arial" w:cs="Arial"/>
          <w:lang w:val="en-GB"/>
        </w:rPr>
      </w:pPr>
      <w:r w:rsidRPr="00ED1FA4">
        <w:rPr>
          <w:rFonts w:ascii="Arial" w:hAnsi="Arial" w:cs="Arial"/>
          <w:lang w:val="en-GB"/>
        </w:rPr>
        <w:t>A. Bowyer*, V. Uppal, F. Shepherd, S. Guy, S. Kitchen Coagulation, Sheffield Teaching Hospitals, Sheffield, UK</w:t>
      </w:r>
    </w:p>
    <w:p w:rsidR="00ED1FA4" w:rsidRPr="00ED1FA4" w:rsidRDefault="00ED1FA4" w:rsidP="008D4278">
      <w:pPr>
        <w:jc w:val="both"/>
        <w:rPr>
          <w:rFonts w:ascii="Arial" w:hAnsi="Arial" w:cs="Arial"/>
        </w:rPr>
      </w:pPr>
      <w:r w:rsidRPr="00ED1FA4">
        <w:rPr>
          <w:rFonts w:ascii="Arial" w:hAnsi="Arial" w:cs="Arial"/>
          <w:b/>
        </w:rPr>
        <w:t>Introduction :</w:t>
      </w:r>
      <w:r w:rsidRPr="00ED1FA4">
        <w:rPr>
          <w:rFonts w:ascii="Arial" w:hAnsi="Arial" w:cs="Arial"/>
        </w:rPr>
        <w:t xml:space="preserve"> Historiquement, le diagnostic de la discordance du test de l'activité du facteur FVIII (FVIII:C) dans l'hémophilie A modérée/mineure était réalisé en comparant le rapport entre </w:t>
      </w:r>
      <w:r w:rsidR="00225AF6">
        <w:rPr>
          <w:rFonts w:ascii="Arial" w:hAnsi="Arial" w:cs="Arial"/>
        </w:rPr>
        <w:t xml:space="preserve">le dosage en </w:t>
      </w:r>
      <w:r w:rsidRPr="00ED1FA4">
        <w:rPr>
          <w:rFonts w:ascii="Arial" w:hAnsi="Arial" w:cs="Arial"/>
        </w:rPr>
        <w:t>une étape (OSA) et le</w:t>
      </w:r>
      <w:r w:rsidR="00225AF6">
        <w:rPr>
          <w:rFonts w:ascii="Arial" w:hAnsi="Arial" w:cs="Arial"/>
        </w:rPr>
        <w:t xml:space="preserve"> dosage en </w:t>
      </w:r>
      <w:r w:rsidRPr="00ED1FA4">
        <w:rPr>
          <w:rFonts w:ascii="Arial" w:hAnsi="Arial" w:cs="Arial"/>
        </w:rPr>
        <w:t>deux étapes (TSA) de FVIII:C. Une différence d'au moins deux fois entre les résultats indique une discordance. Les tests chromogéniques (CSA) ont largement remplacé le TSA, mais certains kits peuvent être moins sensibles à la discordance que le TSA. Prolonger le temps d'incubation du CSA (CSA-E) pourrait améliorer la sensibilité à la discordance et renforcer la corrélation avec le TSA. Cette étude a comparé le TSA avec le CSA et le CSA-E.</w:t>
      </w:r>
    </w:p>
    <w:p w:rsidR="00ED1FA4" w:rsidRPr="00ED1FA4" w:rsidRDefault="00ED1FA4" w:rsidP="008D4278">
      <w:pPr>
        <w:jc w:val="both"/>
        <w:rPr>
          <w:rFonts w:ascii="Arial" w:hAnsi="Arial" w:cs="Arial"/>
        </w:rPr>
      </w:pPr>
      <w:r w:rsidRPr="00ED1FA4">
        <w:rPr>
          <w:rFonts w:ascii="Arial" w:hAnsi="Arial" w:cs="Arial"/>
          <w:b/>
        </w:rPr>
        <w:t>Méthodes :</w:t>
      </w:r>
      <w:r w:rsidRPr="00ED1FA4">
        <w:rPr>
          <w:rFonts w:ascii="Arial" w:hAnsi="Arial" w:cs="Arial"/>
        </w:rPr>
        <w:t xml:space="preserve"> FVIII:C a été mesuré par OSA en utilisant Siemens Actin FS, TSA en utilisant des réactifs maison, CSA et CSA-E utilisant le FVIII chromogénique Siemens </w:t>
      </w:r>
      <w:r w:rsidRPr="00ED1FA4">
        <w:rPr>
          <w:rFonts w:ascii="Arial" w:hAnsi="Arial" w:cs="Arial"/>
        </w:rPr>
        <w:lastRenderedPageBreak/>
        <w:t xml:space="preserve">sur des analyseurs Sysmex CS5100 ou CN6500. </w:t>
      </w:r>
      <w:r w:rsidR="008F7865">
        <w:rPr>
          <w:rFonts w:ascii="Arial" w:hAnsi="Arial" w:cs="Arial"/>
        </w:rPr>
        <w:t xml:space="preserve">Le </w:t>
      </w:r>
      <w:r w:rsidRPr="00ED1FA4">
        <w:rPr>
          <w:rFonts w:ascii="Arial" w:hAnsi="Arial" w:cs="Arial"/>
        </w:rPr>
        <w:t>CSA-E était un CSA modifié utilisant une incubation de 600s plutôt que les 90s recommandées par le fabricant.</w:t>
      </w:r>
    </w:p>
    <w:p w:rsidR="00ED1FA4" w:rsidRPr="00ED1FA4" w:rsidRDefault="00ED1FA4" w:rsidP="008D4278">
      <w:pPr>
        <w:jc w:val="both"/>
        <w:rPr>
          <w:rFonts w:ascii="Arial" w:hAnsi="Arial" w:cs="Arial"/>
        </w:rPr>
      </w:pPr>
      <w:r w:rsidRPr="00ED1FA4">
        <w:rPr>
          <w:rFonts w:ascii="Arial" w:hAnsi="Arial" w:cs="Arial"/>
        </w:rPr>
        <w:t>Les groupes d'échantillons comprenaient des patients atteints, avec la mutation p.Y365C dans F8 (n = 23), des patients avec des mutations</w:t>
      </w:r>
      <w:r w:rsidR="008F7865">
        <w:rPr>
          <w:rFonts w:ascii="Arial" w:hAnsi="Arial" w:cs="Arial"/>
        </w:rPr>
        <w:t xml:space="preserve"> </w:t>
      </w:r>
      <w:r w:rsidRPr="00ED1FA4">
        <w:rPr>
          <w:rFonts w:ascii="Arial" w:hAnsi="Arial" w:cs="Arial"/>
        </w:rPr>
        <w:t>classique</w:t>
      </w:r>
      <w:r w:rsidR="008F7865">
        <w:rPr>
          <w:rFonts w:ascii="Arial" w:hAnsi="Arial" w:cs="Arial"/>
        </w:rPr>
        <w:t>s</w:t>
      </w:r>
      <w:r w:rsidRPr="00ED1FA4">
        <w:rPr>
          <w:rFonts w:ascii="Arial" w:hAnsi="Arial" w:cs="Arial"/>
        </w:rPr>
        <w:t xml:space="preserve"> d’hémophilie modérée/mineure connue</w:t>
      </w:r>
      <w:r w:rsidR="008F7865">
        <w:rPr>
          <w:rFonts w:ascii="Arial" w:hAnsi="Arial" w:cs="Arial"/>
        </w:rPr>
        <w:t>s</w:t>
      </w:r>
      <w:r w:rsidRPr="00ED1FA4">
        <w:rPr>
          <w:rFonts w:ascii="Arial" w:hAnsi="Arial" w:cs="Arial"/>
        </w:rPr>
        <w:t xml:space="preserve"> discordante (n = 14), d'autres hémophiles (n = 50), des non-hémophiles (n = 13) et des donneurs normaux (n = 29). Les rapports d'OSA/TSA ou CSA ou CSA-E ont été calculés si FVIII:C était &gt;0,10 IU/mL ; des rapports de &lt;0,5 ou &gt;2,0 indiquaient une discordance.</w:t>
      </w:r>
    </w:p>
    <w:p w:rsidR="00ED1FA4" w:rsidRPr="00ED1FA4" w:rsidRDefault="00ED1FA4" w:rsidP="008D4278">
      <w:pPr>
        <w:jc w:val="both"/>
        <w:rPr>
          <w:rFonts w:ascii="Arial" w:hAnsi="Arial" w:cs="Arial"/>
        </w:rPr>
      </w:pPr>
      <w:r w:rsidRPr="00ED1FA4">
        <w:rPr>
          <w:rFonts w:ascii="Arial" w:hAnsi="Arial" w:cs="Arial"/>
          <w:b/>
        </w:rPr>
        <w:t>Résultats :</w:t>
      </w:r>
      <w:r w:rsidRPr="00ED1FA4">
        <w:rPr>
          <w:rFonts w:ascii="Arial" w:hAnsi="Arial" w:cs="Arial"/>
        </w:rPr>
        <w:t xml:space="preserve"> Dans le groupe p.Y356C, la concentration moyenne de FVIII:C pour OSA, TSA, CSA et CSA-E étaient respectivement de 0,25, 0,70, 0,79 et 0,81 UI/mL. 74%–83% avaient des rapports &lt;0,5. Pour les formes classiques « discordante</w:t>
      </w:r>
      <w:r w:rsidR="008F7865">
        <w:rPr>
          <w:rFonts w:ascii="Arial" w:hAnsi="Arial" w:cs="Arial"/>
        </w:rPr>
        <w:t>s</w:t>
      </w:r>
      <w:r w:rsidRPr="00ED1FA4">
        <w:rPr>
          <w:rFonts w:ascii="Arial" w:hAnsi="Arial" w:cs="Arial"/>
        </w:rPr>
        <w:t> », la concentration moyenne de FVIII:C pour OSA, TSA, CSA et CSA-E étaient respectivement de 0,42, 0,12, 0,22 et 0,10 UI/mL. 50% (CSA), 86% (CSA-E) et 93% (TSA) avaient des rapports &gt;2,0. Pour les « hémophiles classés non discordants » la concentration moyenne de FVIII:C des OSA, TSA, CSA et CSA_E étaient de 0,24 à 0,28 UI/mL. 4%–6% avaient des rapports &gt;2 ; deux patients avec CSA (les deux avaient p.R1985Q) et trois patients avec CSA-E (deux p.R1985Q, un p.K399E). Les moyennes « patients non hémophiles » étaient entre 1,23 et 1,49 UI/mL et les moyennes normales entre 0,90 et 1,25 UI/mL. Tous les rapports étaient &gt;0,5–&lt;2,0 chez les donneurs non hémophiles ou normaux. La corrélation de Spearman entre TSA et CSA ou CSA-E FVIII:C était comparable dans chaque groupe (r était 0,45–0,91 pour CSA, 0,44–0,89 pour CSA-E). L'ANOVA de Kruskal-Wallis des FVIII:C TSA, CSA et CSA-E était p &lt; 0,05 uniquement dans les groupes de donneurs de forme classique discordants et patients normaux.</w:t>
      </w:r>
    </w:p>
    <w:p w:rsidR="00ED1FA4" w:rsidRPr="00ED1FA4" w:rsidRDefault="00ED1FA4" w:rsidP="008D4278">
      <w:pPr>
        <w:jc w:val="both"/>
        <w:rPr>
          <w:rFonts w:ascii="Arial" w:hAnsi="Arial" w:cs="Arial"/>
        </w:rPr>
      </w:pPr>
      <w:r w:rsidRPr="00ED1FA4">
        <w:rPr>
          <w:rFonts w:ascii="Arial" w:hAnsi="Arial" w:cs="Arial"/>
          <w:b/>
        </w:rPr>
        <w:t>Discussion/Conclusion :</w:t>
      </w:r>
      <w:r w:rsidRPr="00ED1FA4">
        <w:rPr>
          <w:rFonts w:ascii="Arial" w:hAnsi="Arial" w:cs="Arial"/>
        </w:rPr>
        <w:t xml:space="preserve"> Le test TSA est rarement effectué en raison de la difficulté à se procurer les réactifs et le CSA est utilisé par préférence. Le CSA-E était meilleur que le CSA pour le diagnostic des hémophiles modérés/mineurs avec les mutations classiques associées aux discordances et comparable au CSA dans les autres groupes étudiés. Le CSA-E peut être utilisé à la place du TSA et de préférence au CSA pour améliorer le diagnostic de la MHA avec l'AD.</w:t>
      </w:r>
    </w:p>
    <w:p w:rsidR="00ED1FA4" w:rsidRPr="00ED1FA4" w:rsidRDefault="00ED1FA4" w:rsidP="008D4278">
      <w:pPr>
        <w:jc w:val="both"/>
        <w:rPr>
          <w:rFonts w:ascii="Arial" w:hAnsi="Arial" w:cs="Arial"/>
        </w:rPr>
      </w:pPr>
    </w:p>
    <w:p w:rsidR="00ED1FA4" w:rsidRPr="00ED1FA4" w:rsidRDefault="00ED1FA4" w:rsidP="008D4278">
      <w:pPr>
        <w:jc w:val="both"/>
        <w:rPr>
          <w:rFonts w:ascii="Arial" w:hAnsi="Arial" w:cs="Arial"/>
        </w:rPr>
      </w:pPr>
      <w:r w:rsidRPr="00273ECE">
        <w:rPr>
          <w:rFonts w:ascii="Arial" w:hAnsi="Arial" w:cs="Arial"/>
          <w:b/>
          <w:u w:val="single"/>
        </w:rPr>
        <w:t>OR01</w:t>
      </w:r>
      <w:r w:rsidRPr="00273ECE">
        <w:rPr>
          <w:rFonts w:ascii="Arial" w:hAnsi="Arial" w:cs="Arial"/>
          <w:b/>
        </w:rPr>
        <w:t xml:space="preserve"> - Résultats partiels de l’étude FRONTIER-3, un essai de phase 3 évaluant la sécurité et l’efficacité de Mim8 chez les patients hémophiles A de moins de 12 ans</w:t>
      </w:r>
      <w:r w:rsidRPr="00ED1FA4">
        <w:rPr>
          <w:rFonts w:ascii="Arial" w:hAnsi="Arial" w:cs="Arial"/>
        </w:rPr>
        <w:t xml:space="preserve">. </w:t>
      </w:r>
    </w:p>
    <w:p w:rsidR="00ED1FA4" w:rsidRPr="00ED1FA4" w:rsidRDefault="00ED1FA4" w:rsidP="008D4278">
      <w:pPr>
        <w:pStyle w:val="Paragraphedeliste"/>
        <w:numPr>
          <w:ilvl w:val="0"/>
          <w:numId w:val="19"/>
        </w:numPr>
        <w:spacing w:after="160" w:line="278" w:lineRule="auto"/>
        <w:contextualSpacing/>
        <w:jc w:val="both"/>
        <w:rPr>
          <w:rFonts w:ascii="Arial" w:hAnsi="Arial" w:cs="Arial"/>
          <w:lang w:val="en-GB"/>
        </w:rPr>
      </w:pPr>
      <w:r w:rsidRPr="00ED1FA4">
        <w:rPr>
          <w:rFonts w:ascii="Arial" w:hAnsi="Arial" w:cs="Arial"/>
          <w:lang w:val="en-GB"/>
        </w:rPr>
        <w:t xml:space="preserve">J. Mahlangu1,*, M. E. Eyster2, K. Fijnvandraat3, G. Kenet4, N. Radhakrishnan5 , I. Woznica-Karczmarz6, R. Wu7 , C. W. You8, A. P. Florencio9, J. J. Thaung Zaw9, M. Carcao10 1 Department of Molecular Medicine and Haematology, University of the Witwatersrand and National Health Laboratory Service, Johannesburg, South Africa; 2Department of Medicine, Penn State College of Medicine, Hershey, Pennsylvania, USA; 3Amsterdam UMC, University of Amsterdam, Emma Children’s Hospital, Pediatric Hematology, Amsterdam, Netherlands; 4National Hemophilia Center, Sheba Medical Center, Tel HaShomer, Israel; 5 Department of Pediatric Hematology Oncology, Post Graduate Institute of Child Health, Noida, India; 6Department of Transfusion Medicine, Children‘s University Hospital, Lublin, Poland; 7 Department of Hematology, Institute of Hematology and Blood Diseases Hospital, Chinese Academy of Medical Sciences and Peking Union Medical College, Tianjin, China; 8Daejeon Eulji Medical Center, Eulji University, Daejeon, </w:t>
      </w:r>
      <w:r w:rsidRPr="00ED1FA4">
        <w:rPr>
          <w:rFonts w:ascii="Arial" w:hAnsi="Arial" w:cs="Arial"/>
          <w:lang w:val="en-GB"/>
        </w:rPr>
        <w:lastRenderedPageBreak/>
        <w:t>Republic of Korea; 9Novo Nordisk A/S, Søborg, Denmark; 10The Hospital for Sick Children, University of Toronto, Toronto, Canada</w:t>
      </w:r>
    </w:p>
    <w:p w:rsidR="00ED1FA4" w:rsidRPr="00ED1FA4" w:rsidRDefault="00ED1FA4" w:rsidP="008D4278">
      <w:pPr>
        <w:jc w:val="both"/>
        <w:rPr>
          <w:rFonts w:ascii="Arial" w:hAnsi="Arial" w:cs="Arial"/>
        </w:rPr>
      </w:pPr>
      <w:r w:rsidRPr="00ED1FA4">
        <w:rPr>
          <w:rFonts w:ascii="Arial" w:hAnsi="Arial" w:cs="Arial"/>
        </w:rPr>
        <w:t>Parmi les 70 patients inclus, 60 étaient hémophiles sév</w:t>
      </w:r>
      <w:r w:rsidR="00273ECE">
        <w:rPr>
          <w:rFonts w:ascii="Arial" w:hAnsi="Arial" w:cs="Arial"/>
        </w:rPr>
        <w:t xml:space="preserve">ères, 14 avaient un inhibiteur </w:t>
      </w:r>
      <w:r w:rsidRPr="00ED1FA4">
        <w:rPr>
          <w:rFonts w:ascii="Arial" w:hAnsi="Arial" w:cs="Arial"/>
        </w:rPr>
        <w:t xml:space="preserve">et l’âge médian à l’inclusion était de 5 ans. Après une période d’observation initiale, une administration hebdomadaire de Mim8 a été évaluée pendant 26 semaines. Pour la seconde partie de 26 semaines, ils avaient le choix de poursuivre le traitement à cette fréquence ou bien tous les mois. L’estimation de l’ABR dans la 1ère partie a mis en évidence une diminution de 2.58 [1,71; 3,88] à 0.94 </w:t>
      </w:r>
      <w:r w:rsidRPr="00ED1FA4">
        <w:rPr>
          <w:rFonts w:ascii="Arial" w:eastAsia="Arial" w:hAnsi="Arial" w:cs="Arial"/>
          <w:color w:val="000F52"/>
        </w:rPr>
        <w:t>[0.56;1.57]</w:t>
      </w:r>
      <w:r w:rsidRPr="00ED1FA4">
        <w:rPr>
          <w:rFonts w:ascii="Arial" w:hAnsi="Arial" w:cs="Arial"/>
        </w:rPr>
        <w:t xml:space="preserve"> soit de 64% par rapport au traitement initial. </w:t>
      </w:r>
      <w:r w:rsidRPr="00ED1FA4">
        <w:rPr>
          <w:rFonts w:ascii="Arial" w:eastAsia="Aptos" w:hAnsi="Arial" w:cs="Arial"/>
        </w:rPr>
        <w:t>Les résultats partiels de la seconde partie montrent une diminution de l’ABR, estimée à 0,37 [0,15;0,90] pour le schéma hebdomadaire et à 0,21 [0,05; 0.85] pour le schéma mensuel. Ces résultats étaient similaires dans le sous-groupe avec inhibiteur.</w:t>
      </w:r>
      <w:r w:rsidRPr="00ED1FA4">
        <w:rPr>
          <w:rFonts w:ascii="Arial" w:hAnsi="Arial" w:cs="Arial"/>
        </w:rPr>
        <w:t xml:space="preserve"> Les concentrations de Mim8 avoisinaient celles observées chez les patients &gt;12 ans dans l’étude FRONTIER-2 et se situaient à environ 6 </w:t>
      </w:r>
      <w:r w:rsidR="00AF56CF">
        <w:rPr>
          <w:rFonts w:ascii="Arial" w:eastAsia="Symbol" w:hAnsi="Arial" w:cs="Arial"/>
        </w:rPr>
        <w:t>µ</w:t>
      </w:r>
      <w:r w:rsidRPr="00ED1FA4">
        <w:rPr>
          <w:rFonts w:ascii="Arial" w:hAnsi="Arial" w:cs="Arial"/>
        </w:rPr>
        <w:t>g/mL. Le traitement était globalement bien toléré sans complication thromboembolique et principalement des réactions cutanées aux sites d’injection pour 8.6% des patients. Un suivi à plus long terme de ces patients est prévu dans le cadre de l’essai FRONTIER-4.</w:t>
      </w:r>
    </w:p>
    <w:p w:rsidR="00ED1FA4" w:rsidRPr="00ED1FA4" w:rsidRDefault="00ED1FA4" w:rsidP="008D4278">
      <w:pPr>
        <w:jc w:val="both"/>
        <w:rPr>
          <w:rFonts w:ascii="Arial" w:hAnsi="Arial" w:cs="Arial"/>
        </w:rPr>
      </w:pPr>
    </w:p>
    <w:p w:rsidR="00ED1FA4" w:rsidRPr="00273ECE" w:rsidRDefault="00ED1FA4" w:rsidP="008D4278">
      <w:pPr>
        <w:spacing w:before="240" w:after="240"/>
        <w:jc w:val="both"/>
        <w:rPr>
          <w:rFonts w:ascii="Arial" w:eastAsia="Aptos" w:hAnsi="Arial" w:cs="Arial"/>
          <w:b/>
          <w:i/>
          <w:iCs/>
          <w:color w:val="000000" w:themeColor="text1"/>
        </w:rPr>
      </w:pPr>
      <w:r w:rsidRPr="00273ECE">
        <w:rPr>
          <w:rFonts w:ascii="Arial" w:hAnsi="Arial" w:cs="Arial"/>
          <w:b/>
          <w:u w:val="single"/>
        </w:rPr>
        <w:t>PO005</w:t>
      </w:r>
      <w:r w:rsidRPr="00273ECE">
        <w:rPr>
          <w:rFonts w:ascii="Arial" w:hAnsi="Arial" w:cs="Arial"/>
          <w:b/>
        </w:rPr>
        <w:t xml:space="preserve"> - </w:t>
      </w:r>
      <w:r w:rsidRPr="00273ECE">
        <w:rPr>
          <w:rFonts w:ascii="Arial" w:eastAsia="Aptos" w:hAnsi="Arial" w:cs="Arial"/>
          <w:b/>
          <w:color w:val="000000" w:themeColor="text1"/>
        </w:rPr>
        <w:t>Etude de la réponse ex vivo de Mim8 en génération de thrombine entre une activation par du FXIa ou du facteur tissulaire.</w:t>
      </w:r>
    </w:p>
    <w:p w:rsidR="00ED1FA4" w:rsidRPr="00906321" w:rsidRDefault="00ED1FA4" w:rsidP="008D4278">
      <w:pPr>
        <w:pStyle w:val="Paragraphedeliste"/>
        <w:numPr>
          <w:ilvl w:val="0"/>
          <w:numId w:val="19"/>
        </w:numPr>
        <w:spacing w:after="160" w:line="278" w:lineRule="auto"/>
        <w:contextualSpacing/>
        <w:jc w:val="both"/>
        <w:rPr>
          <w:rFonts w:ascii="Arial" w:hAnsi="Arial" w:cs="Arial"/>
        </w:rPr>
      </w:pPr>
      <w:r w:rsidRPr="00906321">
        <w:rPr>
          <w:rFonts w:ascii="Arial" w:hAnsi="Arial" w:cs="Arial"/>
        </w:rPr>
        <w:t>D. Bausch-Fluck1,*, W. H. Ong Clausen2, T. Latendorf3, R. Stehr3, J. Lund4 1 Global Medical Affairs, Novo Nordisk, Zurich, Switzerland; 2Biostatistics, Novo Nordisk, Søborg, Denmark; 3Laboratorium für Klinische Forschung (LKF) GmbH, Kiel, Germany; 44 Global Drug Discovery, Novo Nordisk, Søborg, Denmark.</w:t>
      </w:r>
    </w:p>
    <w:p w:rsidR="00ED1FA4" w:rsidRPr="00ED1FA4" w:rsidRDefault="00ED1FA4" w:rsidP="008D4278">
      <w:pPr>
        <w:spacing w:before="240" w:after="240"/>
        <w:jc w:val="both"/>
        <w:rPr>
          <w:rFonts w:ascii="Arial" w:eastAsia="Aptos" w:hAnsi="Arial" w:cs="Arial"/>
          <w:color w:val="000000" w:themeColor="text1"/>
        </w:rPr>
      </w:pPr>
      <w:r w:rsidRPr="00ED1FA4">
        <w:rPr>
          <w:rFonts w:ascii="Arial" w:eastAsia="Aptos" w:hAnsi="Arial" w:cs="Arial"/>
          <w:color w:val="000000" w:themeColor="text1"/>
        </w:rPr>
        <w:t>Les auteurs ont comparé les résultats en TGT par une activation de PPP de patients par le FXIa à 8mU/mL (FRONTIER-1) et par le FT à 1pM (FRONTIER-2) versus des plasmas déficients spikés par différentes concentrations de Mim8 dans les mêmes conditions d’activation. Les pics de thrombine étaient systématiquement plus élevés avec le FXIa, alors que les ETP restaient comparables entre le FXIa et le FT quelles que soient les concentrations utilisées. Ces différences systématiques pourraient garantir la comparabilité et l’extrapolation des résultats selon les deux modes d'activation.</w:t>
      </w:r>
    </w:p>
    <w:p w:rsidR="00ED1FA4" w:rsidRPr="00273ECE" w:rsidRDefault="00ED1FA4" w:rsidP="008D4278">
      <w:pPr>
        <w:jc w:val="both"/>
        <w:rPr>
          <w:rFonts w:ascii="Arial" w:eastAsia="Aptos" w:hAnsi="Arial" w:cs="Arial"/>
          <w:b/>
          <w:i/>
          <w:iCs/>
          <w:color w:val="000000" w:themeColor="text1"/>
        </w:rPr>
      </w:pPr>
      <w:r w:rsidRPr="00273ECE">
        <w:rPr>
          <w:rFonts w:ascii="Arial" w:eastAsia="Aptos" w:hAnsi="Arial" w:cs="Arial"/>
          <w:b/>
          <w:color w:val="000000" w:themeColor="text1"/>
          <w:u w:val="single"/>
        </w:rPr>
        <w:t>PO033</w:t>
      </w:r>
      <w:r w:rsidRPr="00273ECE">
        <w:rPr>
          <w:rFonts w:ascii="Arial" w:eastAsia="Aptos" w:hAnsi="Arial" w:cs="Arial"/>
          <w:b/>
          <w:color w:val="000000" w:themeColor="text1"/>
        </w:rPr>
        <w:t xml:space="preserve"> - Etude in vitro de Mim8 et de Mim8 associé à des agents by-passants sur les tests globaux et la structure du caillot de fibrine.</w:t>
      </w:r>
      <w:r w:rsidRPr="00273ECE">
        <w:rPr>
          <w:rFonts w:ascii="Arial" w:eastAsia="Aptos" w:hAnsi="Arial" w:cs="Arial"/>
          <w:b/>
          <w:i/>
          <w:iCs/>
          <w:color w:val="000000" w:themeColor="text1"/>
        </w:rPr>
        <w:t xml:space="preserve"> H.Rezigue et al.</w:t>
      </w:r>
    </w:p>
    <w:p w:rsidR="00ED1FA4" w:rsidRPr="00ED1FA4" w:rsidRDefault="00AF56CF" w:rsidP="008D4278">
      <w:pPr>
        <w:pStyle w:val="Paragraphedeliste"/>
        <w:numPr>
          <w:ilvl w:val="0"/>
          <w:numId w:val="19"/>
        </w:numPr>
        <w:spacing w:after="160" w:line="278" w:lineRule="auto"/>
        <w:contextualSpacing/>
        <w:jc w:val="both"/>
        <w:rPr>
          <w:rFonts w:ascii="Arial" w:hAnsi="Arial" w:cs="Arial"/>
          <w:lang w:val="en-GB"/>
        </w:rPr>
      </w:pPr>
      <w:r>
        <w:rPr>
          <w:rFonts w:ascii="Arial" w:hAnsi="Arial" w:cs="Arial"/>
          <w:lang w:val="en-GB"/>
        </w:rPr>
        <w:t>Y. Dargaud1</w:t>
      </w:r>
      <w:r w:rsidR="00ED1FA4" w:rsidRPr="00ED1FA4">
        <w:rPr>
          <w:rFonts w:ascii="Arial" w:hAnsi="Arial" w:cs="Arial"/>
          <w:lang w:val="en-GB"/>
        </w:rPr>
        <w:t>, L. Josset1 , H. Rezigue1 , J. Lund2 1 UR4609 Hemostasis &amp; Thrombosis, University of Lyon 1, Lyon, France; 2Rare Disease Research, Research &amp; Early Development, NovoNordisk A/S, Maaloev, Denmark</w:t>
      </w:r>
    </w:p>
    <w:p w:rsidR="00ED1FA4" w:rsidRPr="00ED1FA4" w:rsidRDefault="00ED1FA4" w:rsidP="008D4278">
      <w:pPr>
        <w:jc w:val="both"/>
        <w:rPr>
          <w:rFonts w:ascii="Arial" w:eastAsia="Aptos" w:hAnsi="Arial" w:cs="Arial"/>
          <w:color w:val="000000" w:themeColor="text1"/>
        </w:rPr>
      </w:pPr>
      <w:r w:rsidRPr="00ED1FA4">
        <w:rPr>
          <w:rFonts w:ascii="Arial" w:eastAsia="Aptos" w:hAnsi="Arial" w:cs="Arial"/>
          <w:color w:val="000000" w:themeColor="text1"/>
        </w:rPr>
        <w:t xml:space="preserve">Des PPP et des PRP issus de patients hémophiles A sévères étaient spikés par du Mim8 puis analysés en génération de thrombine, en thromboélastométrie et en microscopie électronique à balayage. Les différentes conditions évaluaient la réponse à des plasmas spikés par emicizumab, Mim8, FVIII, FVIIa recombinant et CCPa selon différentes combinaisons. Contrairement à l’emicizumab, le PPP traité par Mim8 ne nécessitait pas de FXIa en TGT. Mim8 restaurait une génération de thrombine in vitro comparable à celle d’un plasma à 100% de FVIII. Les PRP traités simultanément par </w:t>
      </w:r>
      <w:r w:rsidRPr="00ED1FA4">
        <w:rPr>
          <w:rFonts w:ascii="Arial" w:eastAsia="Aptos" w:hAnsi="Arial" w:cs="Arial"/>
          <w:color w:val="000000" w:themeColor="text1"/>
        </w:rPr>
        <w:lastRenderedPageBreak/>
        <w:t>Mim8 à 6</w:t>
      </w:r>
      <w:r w:rsidR="00AF56CF">
        <w:rPr>
          <w:rFonts w:ascii="Arial" w:eastAsia="Symbol" w:hAnsi="Arial" w:cs="Arial"/>
        </w:rPr>
        <w:t>µ</w:t>
      </w:r>
      <w:r w:rsidRPr="00ED1FA4">
        <w:rPr>
          <w:rFonts w:ascii="Arial" w:hAnsi="Arial" w:cs="Arial"/>
        </w:rPr>
        <w:t xml:space="preserve">g/mL et rFVIIa à 90 </w:t>
      </w:r>
      <w:r w:rsidR="00AF56CF">
        <w:rPr>
          <w:rFonts w:ascii="Arial" w:eastAsia="Symbol" w:hAnsi="Arial" w:cs="Arial"/>
        </w:rPr>
        <w:t>µ</w:t>
      </w:r>
      <w:r w:rsidRPr="00ED1FA4">
        <w:rPr>
          <w:rFonts w:ascii="Arial" w:hAnsi="Arial" w:cs="Arial"/>
        </w:rPr>
        <w:t>g/kg montraient une normalisation de l’ETP.</w:t>
      </w:r>
      <w:r w:rsidRPr="00ED1FA4">
        <w:rPr>
          <w:rFonts w:ascii="Arial" w:eastAsia="Aptos" w:hAnsi="Arial" w:cs="Arial"/>
          <w:color w:val="000000" w:themeColor="text1"/>
        </w:rPr>
        <w:t xml:space="preserve"> Il n’y avait pas d’effet additif de Mim8 avec le FVIII. La combinaison de Mim8 avec des CCPa à 50 UI/kg était associée à une forte élévation de l’ETP et du pic de thrombine. Ces résultats étaient confirmés en sang total évalué par ROTEM-NATEM. Enfin, l’analyse en microscopie électronique mettaient en évidence une structure du caillot de plasma avec Mim8 équivalente à celle d'un PPP à taux normaux de FVIII et supérieure à un PPP traité par emicizumab.</w:t>
      </w:r>
    </w:p>
    <w:p w:rsidR="00C0518D" w:rsidRPr="00ED1FA4" w:rsidRDefault="00C0518D" w:rsidP="008D4278">
      <w:pPr>
        <w:jc w:val="both"/>
        <w:rPr>
          <w:rFonts w:ascii="Arial" w:hAnsi="Arial" w:cs="Arial"/>
          <w:b/>
        </w:rPr>
      </w:pPr>
    </w:p>
    <w:p w:rsidR="008D13E6" w:rsidRPr="00407F6C" w:rsidRDefault="00F21D90" w:rsidP="008D4278">
      <w:pPr>
        <w:pStyle w:val="Paragraphedeliste"/>
        <w:numPr>
          <w:ilvl w:val="0"/>
          <w:numId w:val="2"/>
        </w:numPr>
        <w:autoSpaceDE w:val="0"/>
        <w:autoSpaceDN w:val="0"/>
        <w:adjustRightInd w:val="0"/>
        <w:jc w:val="both"/>
        <w:rPr>
          <w:rFonts w:ascii="Arial" w:hAnsi="Arial" w:cs="Arial"/>
          <w:color w:val="0000FF"/>
        </w:rPr>
      </w:pPr>
      <w:r w:rsidRPr="00F21D90">
        <w:rPr>
          <w:rFonts w:ascii="Arial" w:hAnsi="Arial" w:cs="Arial"/>
          <w:b/>
          <w:color w:val="FF0000"/>
        </w:rPr>
        <w:t>Validation des recommandations sur le dosage FVIII et FIX chez le patient hémophile substitué</w:t>
      </w:r>
      <w:r w:rsidRPr="00F21D90">
        <w:rPr>
          <w:rFonts w:ascii="Arial" w:hAnsi="Arial" w:cs="Arial"/>
          <w:color w:val="FF0000"/>
        </w:rPr>
        <w:t> </w:t>
      </w:r>
      <w:r>
        <w:rPr>
          <w:rFonts w:ascii="Arial" w:hAnsi="Arial" w:cs="Arial"/>
        </w:rPr>
        <w:t xml:space="preserve">: </w:t>
      </w:r>
      <w:r w:rsidRPr="00407F6C">
        <w:rPr>
          <w:rFonts w:ascii="Arial" w:hAnsi="Arial" w:cs="Arial"/>
          <w:color w:val="0000FF"/>
        </w:rPr>
        <w:t>Claire Pouplard, Christophe Nougier et le groupe de rédacteurs</w:t>
      </w:r>
    </w:p>
    <w:p w:rsidR="00EB0C80" w:rsidRPr="00D7442B" w:rsidRDefault="00EB0C80" w:rsidP="008D4278">
      <w:pPr>
        <w:pStyle w:val="Paragraphedeliste"/>
        <w:autoSpaceDE w:val="0"/>
        <w:autoSpaceDN w:val="0"/>
        <w:adjustRightInd w:val="0"/>
        <w:ind w:left="360"/>
        <w:jc w:val="both"/>
        <w:rPr>
          <w:rFonts w:ascii="Arial" w:hAnsi="Arial" w:cs="Arial"/>
          <w:sz w:val="28"/>
          <w:szCs w:val="28"/>
        </w:rPr>
      </w:pPr>
    </w:p>
    <w:p w:rsidR="006B7E6D" w:rsidRPr="00DF5CF1" w:rsidRDefault="006B7E6D" w:rsidP="008D4278">
      <w:pPr>
        <w:autoSpaceDE w:val="0"/>
        <w:autoSpaceDN w:val="0"/>
        <w:adjustRightInd w:val="0"/>
        <w:jc w:val="both"/>
        <w:rPr>
          <w:rFonts w:ascii="Arial" w:hAnsi="Arial" w:cs="Arial"/>
        </w:rPr>
      </w:pPr>
      <w:r w:rsidRPr="00DF5CF1">
        <w:rPr>
          <w:rFonts w:ascii="Arial" w:hAnsi="Arial" w:cs="Arial"/>
        </w:rPr>
        <w:t xml:space="preserve">Ce travail est actuellement en cours </w:t>
      </w:r>
      <w:r w:rsidR="00EB0C80" w:rsidRPr="00DF5CF1">
        <w:rPr>
          <w:rFonts w:ascii="Arial" w:hAnsi="Arial" w:cs="Arial"/>
        </w:rPr>
        <w:t xml:space="preserve">de rédaction </w:t>
      </w:r>
      <w:r w:rsidR="00D26888" w:rsidRPr="00DF5CF1">
        <w:rPr>
          <w:rFonts w:ascii="Arial" w:hAnsi="Arial" w:cs="Arial"/>
        </w:rPr>
        <w:t>et dev</w:t>
      </w:r>
      <w:r w:rsidR="000A0009" w:rsidRPr="00DF5CF1">
        <w:rPr>
          <w:rFonts w:ascii="Arial" w:hAnsi="Arial" w:cs="Arial"/>
        </w:rPr>
        <w:t>rait aboutir à de</w:t>
      </w:r>
      <w:r w:rsidR="00F51414" w:rsidRPr="00DF5CF1">
        <w:rPr>
          <w:rFonts w:ascii="Arial" w:hAnsi="Arial" w:cs="Arial"/>
        </w:rPr>
        <w:t xml:space="preserve">s </w:t>
      </w:r>
      <w:r w:rsidR="000A0009" w:rsidRPr="00DF5CF1">
        <w:rPr>
          <w:rFonts w:ascii="Arial" w:hAnsi="Arial" w:cs="Arial"/>
        </w:rPr>
        <w:t>pro</w:t>
      </w:r>
      <w:r w:rsidR="00D26888" w:rsidRPr="00DF5CF1">
        <w:rPr>
          <w:rFonts w:ascii="Arial" w:hAnsi="Arial" w:cs="Arial"/>
        </w:rPr>
        <w:t>positions</w:t>
      </w:r>
      <w:r w:rsidR="00F51414" w:rsidRPr="00DF5CF1">
        <w:rPr>
          <w:rFonts w:ascii="Arial" w:hAnsi="Arial" w:cs="Arial"/>
        </w:rPr>
        <w:t xml:space="preserve"> réactualisées</w:t>
      </w:r>
      <w:r w:rsidR="00D26888" w:rsidRPr="00DF5CF1">
        <w:rPr>
          <w:rFonts w:ascii="Arial" w:hAnsi="Arial" w:cs="Arial"/>
        </w:rPr>
        <w:t>.</w:t>
      </w:r>
    </w:p>
    <w:p w:rsidR="007919F6" w:rsidRPr="00AA0C61" w:rsidRDefault="007919F6" w:rsidP="008D4278">
      <w:pPr>
        <w:autoSpaceDE w:val="0"/>
        <w:autoSpaceDN w:val="0"/>
        <w:adjustRightInd w:val="0"/>
        <w:jc w:val="both"/>
        <w:rPr>
          <w:rFonts w:ascii="Arial" w:hAnsi="Arial" w:cs="Arial"/>
          <w:b/>
          <w:color w:val="000000" w:themeColor="text1"/>
        </w:rPr>
      </w:pPr>
    </w:p>
    <w:p w:rsidR="00A0464E" w:rsidRPr="00AF56CF" w:rsidRDefault="00F21D90" w:rsidP="008D4278">
      <w:pPr>
        <w:pStyle w:val="Paragraphedeliste"/>
        <w:numPr>
          <w:ilvl w:val="0"/>
          <w:numId w:val="2"/>
        </w:numPr>
        <w:autoSpaceDE w:val="0"/>
        <w:autoSpaceDN w:val="0"/>
        <w:adjustRightInd w:val="0"/>
        <w:jc w:val="both"/>
        <w:rPr>
          <w:rFonts w:ascii="Calibri" w:hAnsi="Calibri" w:cs="Calibri"/>
          <w:b/>
        </w:rPr>
      </w:pPr>
      <w:r w:rsidRPr="00F21D90">
        <w:rPr>
          <w:rFonts w:ascii="Arial" w:hAnsi="Arial" w:cs="Arial"/>
          <w:b/>
          <w:color w:val="FF0000"/>
        </w:rPr>
        <w:t>Intérêt du suivi longitudinal des z-scores en approche bayésienne par rapport au suivi historique des z-scor</w:t>
      </w:r>
      <w:r>
        <w:rPr>
          <w:rFonts w:ascii="Arial" w:hAnsi="Arial" w:cs="Arial"/>
          <w:b/>
          <w:color w:val="FF0000"/>
        </w:rPr>
        <w:t xml:space="preserve">es en approche conventionnelle : </w:t>
      </w:r>
      <w:r w:rsidRPr="00F21D90">
        <w:rPr>
          <w:rFonts w:ascii="Arial" w:hAnsi="Arial" w:cs="Arial"/>
          <w:color w:val="0000FF"/>
          <w:shd w:val="clear" w:color="auto" w:fill="FFFFFF"/>
        </w:rPr>
        <w:t xml:space="preserve"> </w:t>
      </w:r>
      <w:r w:rsidRPr="00F21D90">
        <w:rPr>
          <w:rFonts w:ascii="Arial" w:hAnsi="Arial" w:cs="Arial"/>
          <w:b/>
          <w:shd w:val="clear" w:color="auto" w:fill="FFFFFF"/>
        </w:rPr>
        <w:t>Frédéric Sobas</w:t>
      </w:r>
    </w:p>
    <w:p w:rsidR="00AF56CF" w:rsidRPr="00F21D90" w:rsidRDefault="00AF56CF" w:rsidP="008D4278">
      <w:pPr>
        <w:pStyle w:val="Paragraphedeliste"/>
        <w:autoSpaceDE w:val="0"/>
        <w:autoSpaceDN w:val="0"/>
        <w:adjustRightInd w:val="0"/>
        <w:ind w:left="360"/>
        <w:jc w:val="both"/>
        <w:rPr>
          <w:rFonts w:ascii="Calibri" w:hAnsi="Calibri" w:cs="Calibri"/>
          <w:b/>
        </w:rPr>
      </w:pPr>
    </w:p>
    <w:p w:rsidR="00AF56CF" w:rsidRPr="00AF56CF" w:rsidRDefault="00AF56CF" w:rsidP="008D4278">
      <w:pPr>
        <w:ind w:firstLine="360"/>
        <w:jc w:val="both"/>
        <w:rPr>
          <w:rFonts w:ascii="Arial" w:hAnsi="Arial" w:cs="Arial"/>
        </w:rPr>
      </w:pPr>
      <w:r w:rsidRPr="00AF56CF">
        <w:rPr>
          <w:rFonts w:ascii="Arial" w:hAnsi="Arial" w:cs="Arial"/>
        </w:rPr>
        <w:t xml:space="preserve">En 2015 était présenté au « club des biologistes en hémostase » l’outil bayésien dénommé Prédictive Control Chart (PCC) pour la gestion des résultats de CIQ. Les laboratoires l’utilisent sous un format Excel ou sous un format automatisé réservé aux détenteurs du middleware Hemohub de la société Werfen. Si l’on doit trouver une phrase générique pour expliquer le fonctionnement de ces outils bayésiens cela serait celle-ci : </w:t>
      </w:r>
      <w:r w:rsidRPr="00407F6C">
        <w:rPr>
          <w:rFonts w:ascii="Arial" w:hAnsi="Arial" w:cs="Arial"/>
          <w:i/>
          <w:color w:val="548DD4" w:themeColor="text2" w:themeTint="99"/>
        </w:rPr>
        <w:t>les outils bayésiens utilisent les infos a priori des fournisseurs au regard du flux de résultats de CIQ du laboratoire pour en déduire de façon séquentielle les estimations postérieures de la moyenne (moyenne postérieure au niveau du PCC) et du SD inter essai (postérieur SD au niveau du Scale PRC de Hemohub) des cartes de contrôle</w:t>
      </w:r>
      <w:r w:rsidRPr="00407F6C">
        <w:rPr>
          <w:rFonts w:ascii="Arial" w:hAnsi="Arial" w:cs="Arial"/>
          <w:color w:val="548DD4" w:themeColor="text2" w:themeTint="99"/>
        </w:rPr>
        <w:t> :</w:t>
      </w:r>
    </w:p>
    <w:p w:rsidR="00996629" w:rsidRPr="00B70581" w:rsidRDefault="00AF56CF" w:rsidP="00B70581">
      <w:pPr>
        <w:jc w:val="center"/>
      </w:pPr>
      <w:r w:rsidRPr="005564C3">
        <w:rPr>
          <w:noProof/>
        </w:rPr>
        <w:drawing>
          <wp:inline distT="0" distB="0" distL="0" distR="0" wp14:anchorId="60D1C98D" wp14:editId="6B2DFEEF">
            <wp:extent cx="3085465" cy="1731917"/>
            <wp:effectExtent l="0" t="0" r="635"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85465" cy="1731917"/>
                    </a:xfrm>
                    <a:prstGeom prst="rect">
                      <a:avLst/>
                    </a:prstGeom>
                    <a:noFill/>
                    <a:ln>
                      <a:noFill/>
                    </a:ln>
                  </pic:spPr>
                </pic:pic>
              </a:graphicData>
            </a:graphic>
          </wp:inline>
        </w:drawing>
      </w:r>
    </w:p>
    <w:p w:rsidR="00AF56CF" w:rsidRDefault="00AF56CF" w:rsidP="008D4278">
      <w:pPr>
        <w:jc w:val="both"/>
        <w:rPr>
          <w:rFonts w:ascii="Arial" w:hAnsi="Arial" w:cs="Arial"/>
        </w:rPr>
      </w:pPr>
      <w:r w:rsidRPr="00AF56CF">
        <w:rPr>
          <w:rFonts w:ascii="Arial" w:hAnsi="Arial" w:cs="Arial"/>
        </w:rPr>
        <w:t>Cela a valu à l’issue de l’année 2024 une reconnaissance par l’Amer</w:t>
      </w:r>
      <w:r w:rsidR="00B70581">
        <w:rPr>
          <w:rFonts w:ascii="Arial" w:hAnsi="Arial" w:cs="Arial"/>
        </w:rPr>
        <w:t xml:space="preserve">ican Society for Quality (ASQ) </w:t>
      </w:r>
      <w:r w:rsidRPr="00AF56CF">
        <w:rPr>
          <w:rFonts w:ascii="Arial" w:hAnsi="Arial" w:cs="Arial"/>
        </w:rPr>
        <w:t>:</w:t>
      </w:r>
    </w:p>
    <w:p w:rsidR="00B70581" w:rsidRDefault="00B70581" w:rsidP="008D4278">
      <w:pPr>
        <w:jc w:val="both"/>
        <w:rPr>
          <w:rFonts w:ascii="Arial" w:hAnsi="Arial" w:cs="Arial"/>
        </w:rPr>
      </w:pPr>
    </w:p>
    <w:p w:rsidR="00B70581" w:rsidRPr="00AF56CF" w:rsidRDefault="00B70581" w:rsidP="00B70581">
      <w:pPr>
        <w:jc w:val="center"/>
        <w:rPr>
          <w:rFonts w:ascii="Arial" w:hAnsi="Arial" w:cs="Arial"/>
        </w:rPr>
      </w:pPr>
      <w:r>
        <w:rPr>
          <w:noProof/>
        </w:rPr>
        <w:drawing>
          <wp:inline distT="0" distB="0" distL="0" distR="0" wp14:anchorId="137F0D38" wp14:editId="0C2AC8F5">
            <wp:extent cx="2444051" cy="13208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03391" cy="1352868"/>
                    </a:xfrm>
                    <a:prstGeom prst="rect">
                      <a:avLst/>
                    </a:prstGeom>
                    <a:noFill/>
                    <a:ln>
                      <a:noFill/>
                    </a:ln>
                  </pic:spPr>
                </pic:pic>
              </a:graphicData>
            </a:graphic>
          </wp:inline>
        </w:drawing>
      </w:r>
    </w:p>
    <w:p w:rsidR="00AF56CF" w:rsidRPr="00AF56CF" w:rsidRDefault="00AF56CF" w:rsidP="008D4278">
      <w:pPr>
        <w:jc w:val="both"/>
        <w:rPr>
          <w:rFonts w:ascii="Arial" w:hAnsi="Arial" w:cs="Arial"/>
        </w:rPr>
      </w:pPr>
      <w:r w:rsidRPr="00AF56CF">
        <w:rPr>
          <w:rFonts w:ascii="Arial" w:hAnsi="Arial" w:cs="Arial"/>
        </w:rPr>
        <w:lastRenderedPageBreak/>
        <w:t xml:space="preserve">Le PCC sera implémenté dans les rapports ECAT avec la philosophie décrite ci-dessus pour réaliser CONTROLE et MONITORING LONGITUDINAL des résultats de z-scores analysés en mode bivarié. Cela complétera l’analyse bivariée ponctuelle des z-scores déjà mise à disposition pour optimiser l’analyse historique des résultats de z-scores et mettre en évidence des tendances notamment au regard de l’aptitude du PCC à travailler avec peu de données.  </w:t>
      </w:r>
    </w:p>
    <w:p w:rsidR="00AF56CF" w:rsidRPr="00AF56CF" w:rsidRDefault="00AF56CF" w:rsidP="008D4278">
      <w:pPr>
        <w:jc w:val="both"/>
        <w:rPr>
          <w:rFonts w:ascii="Arial" w:hAnsi="Arial" w:cs="Arial"/>
        </w:rPr>
      </w:pPr>
      <w:r w:rsidRPr="00AF56CF">
        <w:rPr>
          <w:rFonts w:ascii="Arial" w:hAnsi="Arial" w:cs="Arial"/>
        </w:rPr>
        <w:t xml:space="preserve">NB1 : l’analyse bivariée des z-scores de façon ponctuelle ou longitudinale est incontournable sur les méthodes quantitatives caractérisées par un domaine de mesure défini par les consensus values des deux échantillons ECAT </w:t>
      </w:r>
    </w:p>
    <w:p w:rsidR="00AF56CF" w:rsidRPr="00AF56CF" w:rsidRDefault="00AF56CF" w:rsidP="008D4278">
      <w:pPr>
        <w:jc w:val="both"/>
        <w:rPr>
          <w:rFonts w:ascii="Arial" w:hAnsi="Arial" w:cs="Arial"/>
        </w:rPr>
      </w:pPr>
      <w:r w:rsidRPr="00AF56CF">
        <w:rPr>
          <w:rFonts w:ascii="Arial" w:hAnsi="Arial" w:cs="Arial"/>
        </w:rPr>
        <w:t>NB2 en mode « save the date » : le 1</w:t>
      </w:r>
      <w:r w:rsidRPr="00AF56CF">
        <w:rPr>
          <w:rFonts w:ascii="Arial" w:hAnsi="Arial" w:cs="Arial"/>
          <w:vertAlign w:val="superscript"/>
        </w:rPr>
        <w:t>er</w:t>
      </w:r>
      <w:r w:rsidRPr="00AF56CF">
        <w:rPr>
          <w:rFonts w:ascii="Arial" w:hAnsi="Arial" w:cs="Arial"/>
        </w:rPr>
        <w:t xml:space="preserve"> Octobre 2025 de 12 H 30 à 14 h salle Rhône 3B il y aura un symposium HCL Werfen avec Panagiotis Tsiamyrtzis et Piet Meijer : approche conventionnelle vs approche bayésienne pour la gestion des CIQ et EEQ </w:t>
      </w:r>
    </w:p>
    <w:p w:rsidR="006B7E6D" w:rsidRPr="00F21D90" w:rsidRDefault="006B7E6D" w:rsidP="008D4278">
      <w:pPr>
        <w:pStyle w:val="Paragraphedeliste"/>
        <w:autoSpaceDE w:val="0"/>
        <w:autoSpaceDN w:val="0"/>
        <w:adjustRightInd w:val="0"/>
        <w:ind w:left="360"/>
        <w:jc w:val="both"/>
        <w:rPr>
          <w:rFonts w:ascii="Arial" w:hAnsi="Arial" w:cs="Arial"/>
          <w:b/>
          <w:color w:val="FF0000"/>
        </w:rPr>
      </w:pPr>
    </w:p>
    <w:p w:rsidR="00F21D90" w:rsidRPr="008D4278" w:rsidRDefault="00F21D90" w:rsidP="008D4278">
      <w:pPr>
        <w:pStyle w:val="Paragraphedeliste"/>
        <w:numPr>
          <w:ilvl w:val="0"/>
          <w:numId w:val="2"/>
        </w:numPr>
        <w:jc w:val="both"/>
        <w:rPr>
          <w:rFonts w:ascii="Arial" w:hAnsi="Arial" w:cs="Arial"/>
          <w:color w:val="0000FF"/>
          <w:shd w:val="clear" w:color="auto" w:fill="FFFFFF"/>
        </w:rPr>
      </w:pPr>
      <w:r w:rsidRPr="008D4278">
        <w:rPr>
          <w:rFonts w:ascii="Arial" w:hAnsi="Arial" w:cs="Arial"/>
          <w:b/>
          <w:color w:val="FF0000"/>
          <w:shd w:val="clear" w:color="auto" w:fill="FFFFFF"/>
        </w:rPr>
        <w:t xml:space="preserve">Problématique du dosage FVIII chez l’hémophile </w:t>
      </w:r>
      <w:r w:rsidR="00996629">
        <w:rPr>
          <w:rFonts w:ascii="Arial" w:hAnsi="Arial" w:cs="Arial"/>
          <w:b/>
          <w:color w:val="FF0000"/>
          <w:shd w:val="clear" w:color="auto" w:fill="FFFFFF"/>
        </w:rPr>
        <w:t xml:space="preserve">traité par </w:t>
      </w:r>
      <w:r w:rsidRPr="008D4278">
        <w:rPr>
          <w:rFonts w:ascii="Arial" w:hAnsi="Arial" w:cs="Arial"/>
          <w:b/>
          <w:color w:val="FF0000"/>
          <w:shd w:val="clear" w:color="auto" w:fill="FFFFFF"/>
        </w:rPr>
        <w:t xml:space="preserve">Emicizumab traité </w:t>
      </w:r>
      <w:r w:rsidR="00996629">
        <w:rPr>
          <w:rFonts w:ascii="Arial" w:hAnsi="Arial" w:cs="Arial"/>
          <w:b/>
          <w:color w:val="FF0000"/>
          <w:shd w:val="clear" w:color="auto" w:fill="FFFFFF"/>
        </w:rPr>
        <w:t xml:space="preserve">et </w:t>
      </w:r>
      <w:r w:rsidRPr="008D4278">
        <w:rPr>
          <w:rFonts w:ascii="Arial" w:hAnsi="Arial" w:cs="Arial"/>
          <w:b/>
          <w:color w:val="FF0000"/>
        </w:rPr>
        <w:t>Efanesoctocog</w:t>
      </w:r>
      <w:r w:rsidRPr="008D4278">
        <w:rPr>
          <w:rFonts w:ascii="Arial" w:hAnsi="Arial" w:cs="Arial"/>
          <w:b/>
          <w:color w:val="FF0000"/>
          <w:shd w:val="clear" w:color="auto" w:fill="FFFFFF"/>
        </w:rPr>
        <w:t xml:space="preserve"> alpha</w:t>
      </w:r>
      <w:r w:rsidR="00E55611">
        <w:rPr>
          <w:rFonts w:ascii="Arial" w:hAnsi="Arial" w:cs="Arial"/>
          <w:b/>
          <w:color w:val="FF0000"/>
          <w:shd w:val="clear" w:color="auto" w:fill="FFFFFF"/>
        </w:rPr>
        <w:t xml:space="preserve"> </w:t>
      </w:r>
      <w:r w:rsidRPr="008D4278">
        <w:rPr>
          <w:rFonts w:ascii="Arial" w:hAnsi="Arial" w:cs="Arial"/>
          <w:b/>
          <w:color w:val="FF0000"/>
        </w:rPr>
        <w:t xml:space="preserve">: </w:t>
      </w:r>
      <w:r w:rsidRPr="008D4278">
        <w:rPr>
          <w:rFonts w:ascii="Arial" w:hAnsi="Arial" w:cs="Arial"/>
          <w:color w:val="0000FF"/>
        </w:rPr>
        <w:t xml:space="preserve">Christophe Nougier et Emmanuelle Jeanpierre </w:t>
      </w:r>
      <w:r w:rsidRPr="008D4278">
        <w:rPr>
          <w:rFonts w:ascii="Arial" w:hAnsi="Arial" w:cs="Arial"/>
          <w:color w:val="0000FF"/>
          <w:shd w:val="clear" w:color="auto" w:fill="FFFFFF"/>
        </w:rPr>
        <w:t xml:space="preserve"> </w:t>
      </w:r>
    </w:p>
    <w:p w:rsidR="00F21D90" w:rsidRDefault="00F21D90" w:rsidP="00996629">
      <w:pPr>
        <w:jc w:val="both"/>
        <w:rPr>
          <w:rFonts w:ascii="Arial" w:hAnsi="Arial" w:cs="Arial"/>
          <w:b/>
          <w:color w:val="FF0000"/>
        </w:rPr>
      </w:pPr>
    </w:p>
    <w:p w:rsidR="00996629" w:rsidRDefault="00996629" w:rsidP="00996629">
      <w:pPr>
        <w:jc w:val="both"/>
        <w:rPr>
          <w:rFonts w:ascii="Arial" w:hAnsi="Arial" w:cs="Arial"/>
          <w:i/>
          <w:u w:val="single"/>
        </w:rPr>
      </w:pPr>
      <w:r w:rsidRPr="00996629">
        <w:rPr>
          <w:rFonts w:ascii="Arial" w:hAnsi="Arial" w:cs="Arial"/>
          <w:i/>
          <w:u w:val="single"/>
        </w:rPr>
        <w:t>Altuvoct, une nouvelle ère pour le rFVIII :</w:t>
      </w:r>
    </w:p>
    <w:p w:rsidR="00996629" w:rsidRPr="00996629" w:rsidRDefault="00996629" w:rsidP="00996629">
      <w:pPr>
        <w:jc w:val="both"/>
        <w:rPr>
          <w:rFonts w:ascii="Arial" w:hAnsi="Arial" w:cs="Arial"/>
          <w:i/>
          <w:u w:val="single"/>
        </w:rPr>
      </w:pPr>
    </w:p>
    <w:p w:rsidR="00996629" w:rsidRPr="00996629" w:rsidRDefault="00996629" w:rsidP="00996629">
      <w:pPr>
        <w:jc w:val="both"/>
        <w:rPr>
          <w:rFonts w:ascii="Arial" w:hAnsi="Arial" w:cs="Arial"/>
        </w:rPr>
      </w:pPr>
      <w:r w:rsidRPr="00996629">
        <w:rPr>
          <w:rFonts w:ascii="Arial" w:hAnsi="Arial" w:cs="Arial"/>
        </w:rPr>
        <w:t>Altuvoct (efanesoctocog alfa) est un concentré de FVIII recombinant à longue demi-vie. Outre la fusion au fragment Fc d’une immunoglobuline (comme Elocta), les modifications structurales apportées au FVIII permettent une liaison du FVIII au domaine D’D3 du VWF et donc une stabilité du rFVIII-Fc indépendamment du VWF endogène. De plus, 2 séquences polypeptidiques de 288 et 144 acides aminés (groupements XTEN) permettent un accroissement significatif de la demi-vie du FVIII. Les études cliniques de phase 3 montrant des demi-vies médianes de l’ordre de 40 h.</w:t>
      </w:r>
    </w:p>
    <w:p w:rsidR="00996629" w:rsidRDefault="00996629" w:rsidP="00996629">
      <w:pPr>
        <w:jc w:val="both"/>
        <w:rPr>
          <w:rFonts w:ascii="Arial" w:hAnsi="Arial" w:cs="Arial"/>
          <w:i/>
          <w:u w:val="single"/>
        </w:rPr>
      </w:pPr>
    </w:p>
    <w:p w:rsidR="00996629" w:rsidRPr="00996629" w:rsidRDefault="00996629" w:rsidP="00996629">
      <w:pPr>
        <w:jc w:val="both"/>
        <w:rPr>
          <w:rFonts w:ascii="Arial" w:hAnsi="Arial" w:cs="Arial"/>
          <w:i/>
          <w:u w:val="single"/>
        </w:rPr>
      </w:pPr>
      <w:r w:rsidRPr="00996629">
        <w:rPr>
          <w:rFonts w:ascii="Arial" w:hAnsi="Arial" w:cs="Arial"/>
          <w:i/>
          <w:u w:val="single"/>
        </w:rPr>
        <w:t>Comment doser l’efanesoctocog alfa ?</w:t>
      </w:r>
    </w:p>
    <w:p w:rsidR="00996629" w:rsidRPr="00996629" w:rsidRDefault="00996629" w:rsidP="00996629">
      <w:pPr>
        <w:jc w:val="both"/>
        <w:rPr>
          <w:rFonts w:ascii="Arial" w:hAnsi="Arial" w:cs="Arial"/>
        </w:rPr>
      </w:pPr>
      <w:r w:rsidRPr="00996629">
        <w:rPr>
          <w:rFonts w:ascii="Arial" w:hAnsi="Arial" w:cs="Arial"/>
        </w:rPr>
        <w:t xml:space="preserve">Si la pharmacopée européenne recommande d’utiliser la technique chromogénique pour mesurer l’activité des concentrés en FVIII, l’efanesoctocog alfa est la première molécule qui déroge à la règle. En effet, les concentrés de médicament sont titrés par dosage chronométrique du FVIII en utilisant l’ACTIN FSL comme réactif déclenchant. Une première field study publiée en 2023 et réalisée dans 35 laboratoires dans le monde (dont 7 laboratoires français) a démontré que le dosage chromogénique du FVIII donnait systématiquement des résultats surestimés quel que soit le niveau de facteur et quel que soit le réactif utilisé. Concernant le dosage chronométrique du FVIII, les résultats ne dépendent pas uniquement du type d’activateur (acide ellagique, kaolin, silice…) mais également de la composition des réactifs utilisées. Les réactifs jugés acceptables (+/-20% par rapport à la cible) sont le Synthafax, PTT-A, aPTTHS, </w:t>
      </w:r>
      <w:bookmarkStart w:id="0" w:name="_GoBack"/>
      <w:bookmarkEnd w:id="0"/>
      <w:r w:rsidRPr="00996629">
        <w:rPr>
          <w:rFonts w:ascii="Arial" w:hAnsi="Arial" w:cs="Arial"/>
        </w:rPr>
        <w:t xml:space="preserve">Pathromtin SL, CKPrest, Actin FSL pour les taux de facteur &gt;20%. Pour les taux à 5%, seuls les réactifs Actin FSL, Thrombocheck SLA, APTT SP et SynthasIL sont jugés conformes. La difficulté est donc de disposer d’un réactif conforme sur l’ensemble de la gamme de mesure comme l’Actin FSL. La seconde étude multicentrique sur échantillons surchargés en efanesoctocog alfa (5-20-50-100%) est l’étude européenne menée en 2024 par ECAT et UK NEQAS avec 300 centres participants. Les résultats pour les dosages chromogéniques du FVIII sont concordants avec la première étude, montrant une surestimation systématique des taux de FVIII par rapport aux taux attendus. Concernant les dosages chronométriques du FVIII, certains réactifs jugés conformes dans la première field study montrent des résultats discordants (ex : Pathromtin SL non conforme dés 50%, CK Prest non conforme à 20%) et pour les taux à 5% seul le réactif SynthasIL est jugé acceptable, l’Actin FSL montrant de façon </w:t>
      </w:r>
      <w:r w:rsidRPr="00996629">
        <w:rPr>
          <w:rFonts w:ascii="Arial" w:hAnsi="Arial" w:cs="Arial"/>
        </w:rPr>
        <w:lastRenderedPageBreak/>
        <w:t>étonnante une légère surestimation des taux bas dans cette étude. Ces deux études multicentriques montrent la difficulté de disposer d’un réactif consensuel pour le dosage chronométrique d’efanesoctocog alfa sur l’ensemble de la gamme de mesure, la conformité repose principalement sur le biais jugé acceptable (&lt;20%, 30%...).</w:t>
      </w:r>
    </w:p>
    <w:p w:rsidR="005775C2" w:rsidRDefault="005775C2" w:rsidP="00996629">
      <w:pPr>
        <w:jc w:val="both"/>
        <w:rPr>
          <w:rFonts w:ascii="Arial" w:hAnsi="Arial" w:cs="Arial"/>
          <w:i/>
          <w:u w:val="single"/>
        </w:rPr>
      </w:pPr>
    </w:p>
    <w:p w:rsidR="00996629" w:rsidRPr="00996629" w:rsidRDefault="00996629" w:rsidP="00996629">
      <w:pPr>
        <w:jc w:val="both"/>
        <w:rPr>
          <w:rFonts w:ascii="Arial" w:hAnsi="Arial" w:cs="Arial"/>
          <w:i/>
          <w:u w:val="single"/>
        </w:rPr>
      </w:pPr>
      <w:r w:rsidRPr="00996629">
        <w:rPr>
          <w:rFonts w:ascii="Arial" w:hAnsi="Arial" w:cs="Arial"/>
          <w:i/>
          <w:u w:val="single"/>
        </w:rPr>
        <w:t>Le situations complexes de la surveillance biologique</w:t>
      </w:r>
    </w:p>
    <w:p w:rsidR="00996629" w:rsidRPr="00996629" w:rsidRDefault="00996629" w:rsidP="00996629">
      <w:pPr>
        <w:jc w:val="both"/>
        <w:rPr>
          <w:rFonts w:ascii="Arial" w:hAnsi="Arial" w:cs="Arial"/>
        </w:rPr>
      </w:pPr>
      <w:r w:rsidRPr="00996629">
        <w:rPr>
          <w:rFonts w:ascii="Arial" w:hAnsi="Arial" w:cs="Arial"/>
        </w:rPr>
        <w:t>Plusieurs situations cliniques complexifient la surveillance biologique de l’efanesoctocog alfa :</w:t>
      </w:r>
    </w:p>
    <w:p w:rsidR="00996629" w:rsidRPr="00996629" w:rsidRDefault="00996629" w:rsidP="00996629">
      <w:pPr>
        <w:pStyle w:val="Paragraphedeliste"/>
        <w:numPr>
          <w:ilvl w:val="0"/>
          <w:numId w:val="26"/>
        </w:numPr>
        <w:spacing w:after="160" w:line="259" w:lineRule="auto"/>
        <w:contextualSpacing/>
        <w:jc w:val="both"/>
        <w:rPr>
          <w:rFonts w:ascii="Arial" w:hAnsi="Arial" w:cs="Arial"/>
        </w:rPr>
      </w:pPr>
      <w:r w:rsidRPr="00996629">
        <w:rPr>
          <w:rFonts w:ascii="Arial" w:hAnsi="Arial" w:cs="Arial"/>
        </w:rPr>
        <w:t>Switch de traitement prophylactique : patient sous emicizumab qui change pour un traitement par efanesoctocog alfa et pour qui un dosage de FVIII est demandé (PK, résiduel) </w:t>
      </w:r>
    </w:p>
    <w:p w:rsidR="00996629" w:rsidRPr="00996629" w:rsidRDefault="00996629" w:rsidP="00996629">
      <w:pPr>
        <w:pStyle w:val="Paragraphedeliste"/>
        <w:numPr>
          <w:ilvl w:val="0"/>
          <w:numId w:val="26"/>
        </w:numPr>
        <w:spacing w:after="160" w:line="259" w:lineRule="auto"/>
        <w:contextualSpacing/>
        <w:jc w:val="both"/>
        <w:rPr>
          <w:rFonts w:ascii="Arial" w:hAnsi="Arial" w:cs="Arial"/>
        </w:rPr>
      </w:pPr>
      <w:r w:rsidRPr="00996629">
        <w:rPr>
          <w:rFonts w:ascii="Arial" w:hAnsi="Arial" w:cs="Arial"/>
        </w:rPr>
        <w:t>Ou chirurgie chez un patient traité en prophylaxie par emicizumab et substitué par efanesocotog alfa pour la chirurgie</w:t>
      </w:r>
    </w:p>
    <w:p w:rsidR="00996629" w:rsidRPr="00996629" w:rsidRDefault="00996629" w:rsidP="005775C2">
      <w:pPr>
        <w:jc w:val="both"/>
        <w:rPr>
          <w:rFonts w:ascii="Arial" w:hAnsi="Arial" w:cs="Arial"/>
        </w:rPr>
      </w:pPr>
      <w:r w:rsidRPr="00996629">
        <w:rPr>
          <w:rFonts w:ascii="Arial" w:hAnsi="Arial" w:cs="Arial"/>
        </w:rPr>
        <w:t>Dans ces deux situations, il existe une interférence de l’emicizumab sur le dosage chronométrique, et une surestimation du dosage chromogénique de FVIII en présence d’efanesoctocog alfa.</w:t>
      </w:r>
    </w:p>
    <w:p w:rsidR="00996629" w:rsidRPr="00996629" w:rsidRDefault="00996629" w:rsidP="00996629">
      <w:pPr>
        <w:jc w:val="both"/>
        <w:rPr>
          <w:rFonts w:ascii="Arial" w:hAnsi="Arial" w:cs="Arial"/>
        </w:rPr>
      </w:pPr>
      <w:r w:rsidRPr="00996629">
        <w:rPr>
          <w:rFonts w:ascii="Arial" w:hAnsi="Arial" w:cs="Arial"/>
        </w:rPr>
        <w:t>Pour mesurer l’activité d’efanesoctocog alfa dans ces deux situations, une étude propose de réaliser la calibration du dosage chromogénique du FVIII avec un calibrant spécifique efanesoctocog alfa. Les résultats de cette étude montrent que cette solution permet de doser l’efa sur une large gamme de mesure (5-150%) avec des performances analytiques comparables au dosage chromogénique du FVIII classique, que cela fonctionne avec différents kits chromogéniques et que ce dosage chromogénique en calibration spécifique n’est pas influencé par l’emicizumab quel que soit les concentrations (de 0 à 80</w:t>
      </w:r>
      <w:r w:rsidR="005775C2">
        <w:rPr>
          <w:rFonts w:ascii="Arial" w:hAnsi="Arial" w:cs="Arial"/>
        </w:rPr>
        <w:t xml:space="preserve"> </w:t>
      </w:r>
      <w:r w:rsidRPr="00996629">
        <w:rPr>
          <w:rFonts w:ascii="Arial" w:hAnsi="Arial" w:cs="Arial"/>
        </w:rPr>
        <w:t>µg/mL). La principale difficulté est de disposer d’un calibrant spécifique efanesoctocg alfa, ainsi que de contrôles. Une disponibilité est prévue d’ici la fin de l’année 2025.</w:t>
      </w:r>
    </w:p>
    <w:p w:rsidR="00996629" w:rsidRPr="00996629" w:rsidRDefault="00996629" w:rsidP="00996629">
      <w:pPr>
        <w:jc w:val="both"/>
        <w:rPr>
          <w:rFonts w:ascii="Arial" w:hAnsi="Arial" w:cs="Arial"/>
        </w:rPr>
      </w:pPr>
      <w:r w:rsidRPr="00996629">
        <w:rPr>
          <w:rFonts w:ascii="Arial" w:hAnsi="Arial" w:cs="Arial"/>
        </w:rPr>
        <w:t>Les difficultés de la surveillance biologique de patient traité par efanesoctocog alfa ont été illustrées par un cas clinique présenté par C. Lavenu-Bombled, d’un patient traité par Altuvoct avec emicizumab résiduel et sous ELIQUIS.</w:t>
      </w:r>
    </w:p>
    <w:p w:rsidR="00B70581" w:rsidRDefault="00B70581" w:rsidP="00996629">
      <w:pPr>
        <w:jc w:val="both"/>
        <w:rPr>
          <w:rFonts w:ascii="Arial" w:hAnsi="Arial" w:cs="Arial"/>
          <w:i/>
          <w:u w:val="single"/>
        </w:rPr>
      </w:pPr>
    </w:p>
    <w:p w:rsidR="00996629" w:rsidRPr="00996629" w:rsidRDefault="00996629" w:rsidP="00996629">
      <w:pPr>
        <w:jc w:val="both"/>
        <w:rPr>
          <w:rFonts w:ascii="Arial" w:hAnsi="Arial" w:cs="Arial"/>
          <w:i/>
          <w:u w:val="single"/>
        </w:rPr>
      </w:pPr>
      <w:r w:rsidRPr="00996629">
        <w:rPr>
          <w:rFonts w:ascii="Arial" w:hAnsi="Arial" w:cs="Arial"/>
          <w:i/>
          <w:u w:val="single"/>
        </w:rPr>
        <w:t>Autres interférences biologiques :</w:t>
      </w:r>
    </w:p>
    <w:p w:rsidR="00996629" w:rsidRPr="00996629" w:rsidRDefault="00996629" w:rsidP="00996629">
      <w:pPr>
        <w:jc w:val="both"/>
        <w:rPr>
          <w:rFonts w:ascii="Arial" w:hAnsi="Arial" w:cs="Arial"/>
        </w:rPr>
      </w:pPr>
      <w:r w:rsidRPr="00996629">
        <w:rPr>
          <w:rFonts w:ascii="Arial" w:hAnsi="Arial" w:cs="Arial"/>
        </w:rPr>
        <w:t>En raison d’une stabilité plus importante de l’efanesoctocg alfa par rapport au FVIII, la molécule semble plus stable et se dégrade moins vite à 56°C. Lorsque la recherche d’anti-VIII est réalisée</w:t>
      </w:r>
      <w:r w:rsidR="00BB7FD0">
        <w:rPr>
          <w:rFonts w:ascii="Arial" w:hAnsi="Arial" w:cs="Arial"/>
        </w:rPr>
        <w:t xml:space="preserve"> chez un patient traité par efa</w:t>
      </w:r>
      <w:r w:rsidRPr="00996629">
        <w:rPr>
          <w:rFonts w:ascii="Arial" w:hAnsi="Arial" w:cs="Arial"/>
        </w:rPr>
        <w:t xml:space="preserve">, il est donc recommandé de chauffer au moins 60 min avant de réaliser les mélanges en technique Bethesda ou Nijmegen. Le risque est de rendre des résultats faussement négatifs. A ce jour, aucune interférence de l’efanesoctocog alfa n’a été démontré sur les dosages d’activité et antigénique du VWF. </w:t>
      </w:r>
    </w:p>
    <w:p w:rsidR="00BB7FD0" w:rsidRDefault="00BB7FD0" w:rsidP="00996629">
      <w:pPr>
        <w:jc w:val="both"/>
        <w:rPr>
          <w:rFonts w:ascii="Arial" w:hAnsi="Arial" w:cs="Arial"/>
          <w:i/>
          <w:u w:val="single"/>
        </w:rPr>
      </w:pPr>
    </w:p>
    <w:p w:rsidR="00996629" w:rsidRPr="00996629" w:rsidRDefault="00996629" w:rsidP="00996629">
      <w:pPr>
        <w:jc w:val="both"/>
        <w:rPr>
          <w:rFonts w:ascii="Arial" w:hAnsi="Arial" w:cs="Arial"/>
          <w:i/>
          <w:u w:val="single"/>
        </w:rPr>
      </w:pPr>
      <w:r w:rsidRPr="00996629">
        <w:rPr>
          <w:rFonts w:ascii="Arial" w:hAnsi="Arial" w:cs="Arial"/>
          <w:i/>
          <w:u w:val="single"/>
        </w:rPr>
        <w:t>Conclusions :</w:t>
      </w:r>
    </w:p>
    <w:p w:rsidR="00996629" w:rsidRPr="00996629" w:rsidRDefault="00996629" w:rsidP="00996629">
      <w:pPr>
        <w:jc w:val="both"/>
        <w:rPr>
          <w:rFonts w:ascii="Arial" w:hAnsi="Arial" w:cs="Arial"/>
        </w:rPr>
      </w:pPr>
      <w:r w:rsidRPr="00996629">
        <w:rPr>
          <w:rFonts w:ascii="Arial" w:hAnsi="Arial" w:cs="Arial"/>
        </w:rPr>
        <w:t>L’efanesoctocg alfa constitue une nouvelle classe de FVIII. Les techniques de dosages actuelles ne semblent pas adaptées pour une surveillance biologique dans certaines situations et la calibration spécifique semble être une solution à envisager dès la disponibilité d’un calibrant spécifique. Toutes les études actuelles sont des études in vitro et les données ex-vivo permettront de progresser sur la surveillance biologique adaptée. L’étude E.C.H.O, proposée dans ce sens par le CRH et la filière MHEMO est une étude rétrospective permettant de colliger renseignements et plasmas chez les patients traités par efanesoctocog alfa (coordonnateur Pr A. Rauch).</w:t>
      </w:r>
    </w:p>
    <w:p w:rsidR="00996629" w:rsidRPr="00996629" w:rsidRDefault="00996629" w:rsidP="00996629">
      <w:pPr>
        <w:jc w:val="both"/>
        <w:rPr>
          <w:rFonts w:ascii="Arial" w:hAnsi="Arial" w:cs="Arial"/>
          <w:b/>
          <w:color w:val="FF0000"/>
        </w:rPr>
      </w:pPr>
    </w:p>
    <w:p w:rsidR="00F21D90" w:rsidRPr="008D4278" w:rsidRDefault="00F10CBC" w:rsidP="008D4278">
      <w:pPr>
        <w:pStyle w:val="Paragraphedeliste"/>
        <w:numPr>
          <w:ilvl w:val="0"/>
          <w:numId w:val="2"/>
        </w:numPr>
        <w:jc w:val="both"/>
        <w:rPr>
          <w:rFonts w:ascii="Arial" w:hAnsi="Arial" w:cs="Arial"/>
          <w:b/>
          <w:bCs/>
        </w:rPr>
      </w:pPr>
      <w:r w:rsidRPr="00F10CBC">
        <w:rPr>
          <w:rFonts w:ascii="Arial" w:hAnsi="Arial" w:cs="Arial"/>
          <w:b/>
          <w:bCs/>
          <w:color w:val="FF0000"/>
        </w:rPr>
        <w:lastRenderedPageBreak/>
        <w:t xml:space="preserve">Notices d’utilisation (Instruction for use (IFU)) des réactifs d’hémostase : sommes-nous prêts pour l’application de l’IVDR ? </w:t>
      </w:r>
      <w:r w:rsidR="00F21D90" w:rsidRPr="00F10CBC">
        <w:rPr>
          <w:rFonts w:ascii="Arial" w:hAnsi="Arial" w:cs="Arial"/>
          <w:color w:val="0000FF"/>
          <w:shd w:val="clear" w:color="auto" w:fill="FFFFFF"/>
        </w:rPr>
        <w:t>D. Lasne</w:t>
      </w:r>
    </w:p>
    <w:p w:rsidR="008D4278" w:rsidRPr="00D602A9" w:rsidRDefault="008D4278" w:rsidP="00D602A9">
      <w:pPr>
        <w:jc w:val="both"/>
        <w:rPr>
          <w:rFonts w:ascii="Arial" w:hAnsi="Arial" w:cs="Arial"/>
          <w:b/>
          <w:bCs/>
        </w:rPr>
      </w:pPr>
    </w:p>
    <w:p w:rsidR="008D4278" w:rsidRPr="008D4278" w:rsidRDefault="00F10CBC" w:rsidP="00D602A9">
      <w:pPr>
        <w:ind w:firstLine="141"/>
        <w:jc w:val="both"/>
        <w:rPr>
          <w:rFonts w:ascii="Arial" w:hAnsi="Arial" w:cs="Arial"/>
        </w:rPr>
      </w:pPr>
      <w:r w:rsidRPr="008D4278">
        <w:rPr>
          <w:rFonts w:ascii="Arial" w:hAnsi="Arial" w:cs="Arial"/>
        </w:rPr>
        <w:t>En mai 2017, le Parlement européen et le Conseil de l'Union européenne ont adopté un nouveau règlement sur les dispositifs médicaux de diagnostic in vitro (DMDIV-UE 2017/746) dit IVDR (In-vitro Diagnostics Regulation) - dont l'application est entrée en vigueur en mai 2022 en remplacement des directives précédentes sur les DMDIV (DMDIV 98/79 CE). L'IVDR exige une description plus précise de l'utilisation prévue, des preuves cliniques et un suivi renforcé des performances post-commercialisation par les autorités compétentes. Les exigences en matière de preuves cliniques varient selon le niveau de risque de l’examen pour la santé publique et pour le patient.  L'IVDR réglemente les tests commerciaux mais aussi les tests développés en laboratoire (LDT). Un DIV est considéré comme un LDT s'il est utilisé en dehors de l'usage prévu par le fabricant, qui doit donc être clairement défini et bien documenté. Pour l'instant, la seule source d'information pour les laboratoires est la notice d’utilisation insérée dans la trousse de réactif ou disponible le site web du fabricant. Au nom de l’ICSH (International Council for Standardization in Haematology), nous avons analysé la section «</w:t>
      </w:r>
      <w:r w:rsidR="00893903">
        <w:rPr>
          <w:rFonts w:ascii="Arial" w:hAnsi="Arial" w:cs="Arial"/>
        </w:rPr>
        <w:t xml:space="preserve"> </w:t>
      </w:r>
      <w:r w:rsidRPr="008D4278">
        <w:rPr>
          <w:rFonts w:ascii="Arial" w:hAnsi="Arial" w:cs="Arial"/>
        </w:rPr>
        <w:t>utilisation prévue » dans les notices d'utilisation d'un large panel de tests de coagulation et nous avons défini une liste d'informations minimales devant être mises à la disposition des laboratoires médicaux.</w:t>
      </w:r>
    </w:p>
    <w:p w:rsidR="00F10CBC" w:rsidRPr="008D4278" w:rsidRDefault="00F10CBC" w:rsidP="008D4278">
      <w:pPr>
        <w:jc w:val="both"/>
        <w:rPr>
          <w:rFonts w:ascii="Arial" w:hAnsi="Arial" w:cs="Arial"/>
        </w:rPr>
      </w:pPr>
      <w:r w:rsidRPr="005277C8">
        <w:rPr>
          <w:rFonts w:ascii="Arial" w:hAnsi="Arial" w:cs="Arial"/>
        </w:rPr>
        <w:t>Nous avons analysé les informations sur l'utilisation prévue et les performances cliniques dans 195 notices d'utilisation de 12 fabricants pour les principaux tests d’hémostase utilisés dans les laboratoires médicaux européens.</w:t>
      </w:r>
    </w:p>
    <w:p w:rsidR="008D4278" w:rsidRPr="005277C8" w:rsidRDefault="00F10CBC" w:rsidP="008D4278">
      <w:pPr>
        <w:jc w:val="both"/>
        <w:rPr>
          <w:rFonts w:ascii="Arial" w:hAnsi="Arial" w:cs="Arial"/>
        </w:rPr>
      </w:pPr>
      <w:r w:rsidRPr="005277C8">
        <w:rPr>
          <w:rFonts w:ascii="Arial" w:hAnsi="Arial" w:cs="Arial"/>
        </w:rPr>
        <w:t>Une section « utilisation prévue » figure dans presque toutes les notices analysées, mais les informations fournies varient considérablement. La principale utilisation prévue est parfois limitée à un seul analyseur ou à une série spécifique d'analyseurs. Nous avons observé des discordances pour chacun des tests évalués, certaines utilisations prévues ne sont pas étayées par des études cliniques ou des recommandations. Certaines utilisations essentielles pour les soins aux patients et couramment effectuées par les laboratoires ne sont pas mentionnées dans les notices d'utilisation. La performance clinique n'est indiquée que pour un nombre limité de tests. Pour certains tests, bien que des données soient disponibles dans la littérature, certaines indications ne sont pas mentionnées. La matrice et l'importance d'un pré-test de probabilité pour certains tests ne sont pas systématiquement mentionnées. Sur la base des exigences de l'IVDR, nous proposons une liste d’informations minimales devant être mises à la disposition des laboratoires.</w:t>
      </w:r>
    </w:p>
    <w:p w:rsidR="008D4278" w:rsidRDefault="008D4278" w:rsidP="008D4278">
      <w:pPr>
        <w:jc w:val="both"/>
        <w:rPr>
          <w:rFonts w:ascii="Arial" w:hAnsi="Arial" w:cs="Arial"/>
          <w:sz w:val="22"/>
          <w:szCs w:val="22"/>
        </w:rPr>
      </w:pPr>
    </w:p>
    <w:p w:rsidR="00B70581" w:rsidRDefault="00B70581" w:rsidP="008D4278">
      <w:pPr>
        <w:rPr>
          <w:rFonts w:ascii="Arial" w:hAnsi="Arial" w:cs="Arial"/>
          <w:b/>
          <w:sz w:val="22"/>
          <w:szCs w:val="22"/>
          <w:lang w:val="en-GB"/>
        </w:rPr>
      </w:pPr>
    </w:p>
    <w:p w:rsidR="008D4278" w:rsidRDefault="008D4278" w:rsidP="008D4278">
      <w:pPr>
        <w:rPr>
          <w:rFonts w:ascii="Arial" w:hAnsi="Arial" w:cs="Arial"/>
          <w:b/>
          <w:sz w:val="22"/>
          <w:szCs w:val="22"/>
          <w:lang w:val="en-GB"/>
        </w:rPr>
      </w:pPr>
      <w:r w:rsidRPr="00B70581">
        <w:rPr>
          <w:rFonts w:ascii="Arial" w:hAnsi="Arial" w:cs="Arial"/>
          <w:b/>
          <w:sz w:val="22"/>
          <w:szCs w:val="22"/>
          <w:lang w:val="en-GB"/>
        </w:rPr>
        <w:t>Références:</w:t>
      </w:r>
    </w:p>
    <w:p w:rsidR="00B70581" w:rsidRPr="00B70581" w:rsidRDefault="00B70581" w:rsidP="008D4278">
      <w:pPr>
        <w:rPr>
          <w:rFonts w:ascii="Arial" w:hAnsi="Arial" w:cs="Arial"/>
          <w:b/>
          <w:sz w:val="22"/>
          <w:szCs w:val="22"/>
          <w:lang w:val="en-GB"/>
        </w:rPr>
      </w:pPr>
    </w:p>
    <w:p w:rsidR="008D4278" w:rsidRPr="00B70581" w:rsidRDefault="008D4278" w:rsidP="00B70581">
      <w:pPr>
        <w:pStyle w:val="Paragraphedeliste"/>
        <w:numPr>
          <w:ilvl w:val="0"/>
          <w:numId w:val="26"/>
        </w:numPr>
        <w:rPr>
          <w:rFonts w:ascii="Arial" w:hAnsi="Arial" w:cs="Arial"/>
          <w:sz w:val="16"/>
          <w:szCs w:val="16"/>
          <w:lang w:val="en-GB"/>
        </w:rPr>
      </w:pPr>
      <w:r w:rsidRPr="00B70581">
        <w:rPr>
          <w:rFonts w:ascii="Arial" w:hAnsi="Arial" w:cs="Arial"/>
          <w:sz w:val="16"/>
          <w:szCs w:val="16"/>
          <w:lang w:val="en-GB"/>
        </w:rPr>
        <w:t xml:space="preserve">REGULATION (EU) 2017/746 OF THE EUROPEAN PARLIAMENT AND OF THE COUNCIL of 5 April 2017 on in vitro diagnostic medical devices and repealing Directive 98/79/EC and Commission Decision 2010/227/EU [Internet]. L 117/176 May 5, 2017. Available from: </w:t>
      </w:r>
      <w:hyperlink r:id="rId11" w:history="1">
        <w:r w:rsidRPr="00B70581">
          <w:rPr>
            <w:rStyle w:val="Lienhypertexte"/>
            <w:rFonts w:ascii="Arial" w:hAnsi="Arial" w:cs="Arial"/>
            <w:sz w:val="16"/>
            <w:szCs w:val="16"/>
            <w:lang w:val="en-GB"/>
          </w:rPr>
          <w:t>https://eur-lex.europa.eu/legal-content/EN/TXT/?uri=CELEX:32017R0746</w:t>
        </w:r>
      </w:hyperlink>
    </w:p>
    <w:p w:rsidR="008D4278" w:rsidRPr="008D4278" w:rsidRDefault="008D4278" w:rsidP="00B70581">
      <w:pPr>
        <w:ind w:left="708"/>
        <w:rPr>
          <w:rFonts w:ascii="Arial" w:hAnsi="Arial" w:cs="Arial"/>
          <w:sz w:val="16"/>
          <w:szCs w:val="16"/>
          <w:lang w:val="en-GB"/>
        </w:rPr>
      </w:pPr>
      <w:r w:rsidRPr="008D4278">
        <w:rPr>
          <w:rFonts w:ascii="Arial" w:hAnsi="Arial" w:cs="Arial"/>
          <w:sz w:val="16"/>
          <w:szCs w:val="16"/>
          <w:lang w:val="en-GB"/>
        </w:rPr>
        <w:t>Medical Device Coordination Group (MDCG) 2020-16 Guidance on Guidance on Classification Rules for in vitro Diagnostic Medical Devices under Regulation (EU) 2017/746)</w:t>
      </w:r>
    </w:p>
    <w:p w:rsidR="008D4278" w:rsidRPr="00B70581" w:rsidRDefault="008D4278" w:rsidP="00B70581">
      <w:pPr>
        <w:pStyle w:val="Paragraphedeliste"/>
        <w:numPr>
          <w:ilvl w:val="0"/>
          <w:numId w:val="26"/>
        </w:numPr>
        <w:rPr>
          <w:rFonts w:ascii="Arial" w:hAnsi="Arial" w:cs="Arial"/>
          <w:sz w:val="16"/>
          <w:szCs w:val="16"/>
          <w:lang w:val="en-GB"/>
        </w:rPr>
      </w:pPr>
      <w:r w:rsidRPr="00B70581">
        <w:rPr>
          <w:rFonts w:ascii="Arial" w:hAnsi="Arial" w:cs="Arial"/>
          <w:sz w:val="16"/>
          <w:szCs w:val="16"/>
          <w:lang w:val="en-GB"/>
        </w:rPr>
        <w:t>Gardiner et al.</w:t>
      </w:r>
      <w:r w:rsidRPr="00B70581">
        <w:rPr>
          <w:rFonts w:ascii="Arial" w:hAnsi="Arial" w:cs="Arial"/>
          <w:lang w:val="en-GB"/>
        </w:rPr>
        <w:t xml:space="preserve"> </w:t>
      </w:r>
      <w:r w:rsidRPr="00B70581">
        <w:rPr>
          <w:rFonts w:ascii="Arial" w:hAnsi="Arial" w:cs="Arial"/>
          <w:sz w:val="16"/>
          <w:szCs w:val="16"/>
          <w:lang w:val="en-GB"/>
        </w:rPr>
        <w:t>International Committee for Standardization in Hematology (ICSH) Guidance on the Validation of Laboratory Developed Tests in Haemostasis. IJLH. 2025</w:t>
      </w:r>
    </w:p>
    <w:p w:rsidR="008D4278" w:rsidRPr="00B70581" w:rsidRDefault="008D4278" w:rsidP="00B70581">
      <w:pPr>
        <w:pStyle w:val="Paragraphedeliste"/>
        <w:numPr>
          <w:ilvl w:val="0"/>
          <w:numId w:val="26"/>
        </w:numPr>
        <w:rPr>
          <w:rFonts w:ascii="Arial" w:hAnsi="Arial" w:cs="Arial"/>
          <w:lang w:val="en-GB"/>
        </w:rPr>
      </w:pPr>
      <w:r w:rsidRPr="00B70581">
        <w:rPr>
          <w:rFonts w:ascii="Arial" w:hAnsi="Arial" w:cs="Arial"/>
          <w:sz w:val="16"/>
          <w:szCs w:val="16"/>
          <w:lang w:val="en-GB"/>
        </w:rPr>
        <w:t>Lasne et al. Clinical laboratories need more information about commercially available reagents to prepare to the IVDR: A call from the ICSH. Sous presse  IJLH</w:t>
      </w:r>
    </w:p>
    <w:p w:rsidR="00F21D90" w:rsidRPr="00F10CBC" w:rsidRDefault="00F21D90" w:rsidP="008D4278">
      <w:pPr>
        <w:jc w:val="both"/>
        <w:rPr>
          <w:color w:val="000000"/>
        </w:rPr>
      </w:pPr>
    </w:p>
    <w:p w:rsidR="005277C8" w:rsidRDefault="005277C8">
      <w:pPr>
        <w:rPr>
          <w:rFonts w:ascii="Arial" w:hAnsi="Arial" w:cs="Arial"/>
          <w:b/>
          <w:color w:val="FF0000"/>
        </w:rPr>
      </w:pPr>
      <w:r>
        <w:rPr>
          <w:rFonts w:ascii="Arial" w:hAnsi="Arial" w:cs="Arial"/>
          <w:b/>
          <w:color w:val="FF0000"/>
        </w:rPr>
        <w:br w:type="page"/>
      </w:r>
    </w:p>
    <w:p w:rsidR="00AF1170" w:rsidRPr="005277C8" w:rsidRDefault="00AF1170" w:rsidP="005277C8">
      <w:pPr>
        <w:pStyle w:val="Paragraphedeliste"/>
        <w:numPr>
          <w:ilvl w:val="0"/>
          <w:numId w:val="2"/>
        </w:numPr>
        <w:jc w:val="both"/>
        <w:rPr>
          <w:rFonts w:ascii="Arial" w:hAnsi="Arial" w:cs="Arial"/>
          <w:color w:val="0066FF"/>
        </w:rPr>
      </w:pPr>
      <w:r w:rsidRPr="005277C8">
        <w:rPr>
          <w:rFonts w:ascii="Arial" w:hAnsi="Arial" w:cs="Arial"/>
          <w:b/>
          <w:color w:val="FF0000"/>
        </w:rPr>
        <w:lastRenderedPageBreak/>
        <w:t>Que reste-t-il des indications du temps de lyse des euglobulines</w:t>
      </w:r>
      <w:r w:rsidR="00D56E0A" w:rsidRPr="005277C8">
        <w:rPr>
          <w:rFonts w:ascii="Arial" w:hAnsi="Arial" w:cs="Arial"/>
          <w:b/>
          <w:color w:val="FF0000"/>
        </w:rPr>
        <w:t xml:space="preserve"> (TLE ou Von Kaulla)</w:t>
      </w:r>
      <w:r w:rsidRPr="005277C8">
        <w:rPr>
          <w:rFonts w:ascii="Arial" w:hAnsi="Arial" w:cs="Arial"/>
          <w:b/>
          <w:color w:val="FF0000"/>
        </w:rPr>
        <w:t>?</w:t>
      </w:r>
      <w:r w:rsidRPr="005277C8">
        <w:rPr>
          <w:rFonts w:ascii="Arial" w:hAnsi="Arial" w:cs="Arial"/>
          <w:color w:val="FF0000"/>
        </w:rPr>
        <w:t xml:space="preserve"> </w:t>
      </w:r>
      <w:r w:rsidRPr="005277C8">
        <w:rPr>
          <w:rFonts w:ascii="Arial" w:hAnsi="Arial" w:cs="Arial"/>
          <w:color w:val="0000FF"/>
        </w:rPr>
        <w:t>V Le Cam-Duchez et le groupe participant au CQI</w:t>
      </w:r>
    </w:p>
    <w:p w:rsidR="00D56E0A" w:rsidRDefault="00D56E0A" w:rsidP="008D4278">
      <w:pPr>
        <w:jc w:val="both"/>
        <w:rPr>
          <w:b/>
        </w:rPr>
      </w:pPr>
    </w:p>
    <w:p w:rsidR="00D56E0A" w:rsidRPr="00D56E0A" w:rsidRDefault="00D56E0A" w:rsidP="008D4278">
      <w:pPr>
        <w:jc w:val="both"/>
        <w:rPr>
          <w:rFonts w:ascii="Arial" w:hAnsi="Arial" w:cs="Arial"/>
        </w:rPr>
      </w:pPr>
      <w:r w:rsidRPr="00D56E0A">
        <w:rPr>
          <w:rFonts w:ascii="Arial" w:hAnsi="Arial" w:cs="Arial"/>
        </w:rPr>
        <w:t>Les anomalies de la fibrinolyse peuvent conduire à des évènements thrombotiques ou hémorragiques. Des anomalies génétiques rares comme le déficit en PAI-1 ou le syndrome de Québec peuvent entrainer des hémorragie</w:t>
      </w:r>
      <w:r>
        <w:rPr>
          <w:rFonts w:ascii="Arial" w:hAnsi="Arial" w:cs="Arial"/>
        </w:rPr>
        <w:t>s, néanmoins la fibrinolyse joue</w:t>
      </w:r>
      <w:r w:rsidRPr="00D56E0A">
        <w:rPr>
          <w:rFonts w:ascii="Arial" w:hAnsi="Arial" w:cs="Arial"/>
        </w:rPr>
        <w:t xml:space="preserve"> surtout un rôle important dans les syndromes hémorragiques acquis tels que le post partum ou le polytraumatisme, comme en témoigne l’efficacit</w:t>
      </w:r>
      <w:r>
        <w:rPr>
          <w:rFonts w:ascii="Arial" w:hAnsi="Arial" w:cs="Arial"/>
        </w:rPr>
        <w:t>é des traitements par acide tran</w:t>
      </w:r>
      <w:r w:rsidRPr="00D56E0A">
        <w:rPr>
          <w:rFonts w:ascii="Arial" w:hAnsi="Arial" w:cs="Arial"/>
        </w:rPr>
        <w:t>exa</w:t>
      </w:r>
      <w:r w:rsidR="005277C8">
        <w:rPr>
          <w:rFonts w:ascii="Arial" w:hAnsi="Arial" w:cs="Arial"/>
        </w:rPr>
        <w:t>m</w:t>
      </w:r>
      <w:r w:rsidRPr="00D56E0A">
        <w:rPr>
          <w:rFonts w:ascii="Arial" w:hAnsi="Arial" w:cs="Arial"/>
        </w:rPr>
        <w:t>ique. D’autre part</w:t>
      </w:r>
      <w:r>
        <w:rPr>
          <w:rFonts w:ascii="Arial" w:hAnsi="Arial" w:cs="Arial"/>
        </w:rPr>
        <w:t>,</w:t>
      </w:r>
      <w:r w:rsidRPr="00D56E0A">
        <w:rPr>
          <w:rFonts w:ascii="Arial" w:hAnsi="Arial" w:cs="Arial"/>
        </w:rPr>
        <w:t xml:space="preserve"> une grande majorité de patients ayant une tendance aux hémorragies ont ce que l’on appelle des saignements de cause inconnue (BDUC). L’hyperfibrinolyse est une des causes possibles </w:t>
      </w:r>
      <w:r>
        <w:rPr>
          <w:rFonts w:ascii="Arial" w:hAnsi="Arial" w:cs="Arial"/>
        </w:rPr>
        <w:t>de saignement chez ces patients</w:t>
      </w:r>
      <w:r w:rsidRPr="00D56E0A">
        <w:rPr>
          <w:rFonts w:ascii="Arial" w:hAnsi="Arial" w:cs="Arial"/>
        </w:rPr>
        <w:t>.</w:t>
      </w:r>
    </w:p>
    <w:p w:rsidR="00D56E0A" w:rsidRPr="00D56E0A" w:rsidRDefault="00D56E0A" w:rsidP="008D4278">
      <w:pPr>
        <w:jc w:val="both"/>
        <w:rPr>
          <w:rFonts w:ascii="Arial" w:hAnsi="Arial" w:cs="Arial"/>
        </w:rPr>
      </w:pPr>
      <w:r w:rsidRPr="00D56E0A">
        <w:rPr>
          <w:rFonts w:ascii="Arial" w:hAnsi="Arial" w:cs="Arial"/>
        </w:rPr>
        <w:t xml:space="preserve">Le TLE est un test global d’évaluation de la fibrinolyse qui permet de dépister par exemple un déficit en PAI-1 mais pas un déficit en </w:t>
      </w:r>
      <w:r>
        <w:rPr>
          <w:rFonts w:ascii="Arial" w:hAnsi="Arial" w:cs="Arial"/>
        </w:rPr>
        <w:t xml:space="preserve">alpha </w:t>
      </w:r>
      <w:r w:rsidRPr="00D56E0A">
        <w:rPr>
          <w:rFonts w:ascii="Arial" w:hAnsi="Arial" w:cs="Arial"/>
        </w:rPr>
        <w:t>2 antiplasmine.  Les modes opératoires sont hétérogènes et le temps de réalisation assez long, des difficultés en cas de fibrinogène bas et une variabilité inter opérateur dans la lecture visuelle de la lyse du caillot. Ainsi des stratégies ont été développées pour tenter d’augmenter le rendement diagnostique du TLE : Ratio</w:t>
      </w:r>
      <w:r>
        <w:rPr>
          <w:rFonts w:ascii="Arial" w:hAnsi="Arial" w:cs="Arial"/>
        </w:rPr>
        <w:t xml:space="preserve"> avant et après 10 minutes de vei</w:t>
      </w:r>
      <w:r w:rsidRPr="00D56E0A">
        <w:rPr>
          <w:rFonts w:ascii="Arial" w:hAnsi="Arial" w:cs="Arial"/>
        </w:rPr>
        <w:t>nostase, comparaison d’un TLE avec et sans ions Ca</w:t>
      </w:r>
      <w:r w:rsidRPr="00D56E0A">
        <w:rPr>
          <w:rFonts w:ascii="Arial" w:hAnsi="Arial" w:cs="Arial"/>
          <w:vertAlign w:val="superscript"/>
        </w:rPr>
        <w:t>++</w:t>
      </w:r>
      <w:r w:rsidRPr="00D56E0A">
        <w:rPr>
          <w:rFonts w:ascii="Arial" w:hAnsi="Arial" w:cs="Arial"/>
        </w:rPr>
        <w:t>, ou TLE modifié par l’adjonc</w:t>
      </w:r>
      <w:r>
        <w:rPr>
          <w:rFonts w:ascii="Arial" w:hAnsi="Arial" w:cs="Arial"/>
        </w:rPr>
        <w:t>tion de fibrinogène déplé</w:t>
      </w:r>
      <w:r w:rsidRPr="00D56E0A">
        <w:rPr>
          <w:rFonts w:ascii="Arial" w:hAnsi="Arial" w:cs="Arial"/>
        </w:rPr>
        <w:t>té en plasminogène, d’ovalbumine, en déclenchant la coagulation par de la thrombine et grâce à une lecture automatisée. Cette dernière procédure est essentiellement sous la dépendance des taux résiduels de PAI-1, de t-PA et d’</w:t>
      </w:r>
      <w:r>
        <w:rPr>
          <w:rFonts w:ascii="Arial" w:hAnsi="Arial" w:cs="Arial"/>
        </w:rPr>
        <w:t xml:space="preserve">alpha </w:t>
      </w:r>
      <w:r w:rsidRPr="00D56E0A">
        <w:rPr>
          <w:rFonts w:ascii="Arial" w:hAnsi="Arial" w:cs="Arial"/>
        </w:rPr>
        <w:t>2AP.</w:t>
      </w:r>
    </w:p>
    <w:p w:rsidR="00D56E0A" w:rsidRPr="00D56E0A" w:rsidRDefault="00D56E0A" w:rsidP="008D4278">
      <w:pPr>
        <w:jc w:val="both"/>
        <w:rPr>
          <w:rFonts w:ascii="Arial" w:hAnsi="Arial" w:cs="Arial"/>
        </w:rPr>
      </w:pPr>
      <w:r w:rsidRPr="00D56E0A">
        <w:rPr>
          <w:rFonts w:ascii="Arial" w:hAnsi="Arial" w:cs="Arial"/>
        </w:rPr>
        <w:t>Le Sous-comité ISTH pour la standardisation de la prise en charge des BDUC en 2024 (Baker et al. JTH 2024) suggérait en deuxième intention, la réalisation de tests de fibrinolyse même si leur utilité clinique restait incertaine.</w:t>
      </w:r>
    </w:p>
    <w:p w:rsidR="00D56E0A" w:rsidRPr="00D56E0A" w:rsidRDefault="00D56E0A" w:rsidP="008D4278">
      <w:pPr>
        <w:jc w:val="both"/>
        <w:rPr>
          <w:rFonts w:ascii="Arial" w:hAnsi="Arial" w:cs="Arial"/>
        </w:rPr>
      </w:pPr>
      <w:r w:rsidRPr="00D56E0A">
        <w:rPr>
          <w:rFonts w:ascii="Arial" w:hAnsi="Arial" w:cs="Arial"/>
        </w:rPr>
        <w:t>Une étude de 2016 (Alves et al., BCF 2016) sur 45 BDUC versus 50 contrôles montraient des TLE significativement plus courts chez les BDUC mais le TLE ne permet pas d’apprécier le risque hémorragique. Une autre étude en 2022 (Valke et al. RPTH 2022) a étudi</w:t>
      </w:r>
      <w:r>
        <w:rPr>
          <w:rFonts w:ascii="Arial" w:hAnsi="Arial" w:cs="Arial"/>
        </w:rPr>
        <w:t>é le ratio TLE avant et après vei</w:t>
      </w:r>
      <w:r w:rsidRPr="00D56E0A">
        <w:rPr>
          <w:rFonts w:ascii="Arial" w:hAnsi="Arial" w:cs="Arial"/>
        </w:rPr>
        <w:t>nostase dans une population de BDUC très bien caractérisée et a montré un bon rendement diagnostic du fait de la population très ciblée. Enfin</w:t>
      </w:r>
      <w:r>
        <w:rPr>
          <w:rFonts w:ascii="Arial" w:hAnsi="Arial" w:cs="Arial"/>
        </w:rPr>
        <w:t>,</w:t>
      </w:r>
      <w:r w:rsidRPr="00D56E0A">
        <w:rPr>
          <w:rFonts w:ascii="Arial" w:hAnsi="Arial" w:cs="Arial"/>
        </w:rPr>
        <w:t xml:space="preserve"> N Mathews et al. (IJLH 2023) suggéraient que pour éviter tout retard</w:t>
      </w:r>
      <w:r>
        <w:rPr>
          <w:rFonts w:ascii="Arial" w:hAnsi="Arial" w:cs="Arial"/>
        </w:rPr>
        <w:t xml:space="preserve"> au</w:t>
      </w:r>
      <w:r w:rsidRPr="00D56E0A">
        <w:rPr>
          <w:rFonts w:ascii="Arial" w:hAnsi="Arial" w:cs="Arial"/>
        </w:rPr>
        <w:t xml:space="preserve"> diagnostic chez les BDUC ou</w:t>
      </w:r>
      <w:r>
        <w:rPr>
          <w:rFonts w:ascii="Arial" w:hAnsi="Arial" w:cs="Arial"/>
        </w:rPr>
        <w:t xml:space="preserve"> chez</w:t>
      </w:r>
      <w:r w:rsidRPr="00D56E0A">
        <w:rPr>
          <w:rFonts w:ascii="Arial" w:hAnsi="Arial" w:cs="Arial"/>
        </w:rPr>
        <w:t xml:space="preserve"> les patients avec des antécédents familiaux d’anomalie de la fibrinolyse, il fallait réaliser un TLE, un dosage d’</w:t>
      </w:r>
      <w:r>
        <w:rPr>
          <w:rFonts w:ascii="Arial" w:hAnsi="Arial" w:cs="Arial"/>
        </w:rPr>
        <w:t xml:space="preserve">alpha </w:t>
      </w:r>
      <w:r w:rsidRPr="00D56E0A">
        <w:rPr>
          <w:rFonts w:ascii="Arial" w:hAnsi="Arial" w:cs="Arial"/>
        </w:rPr>
        <w:t>2AP et de PAI-1 plutôt par méthode antigénique.</w:t>
      </w:r>
    </w:p>
    <w:p w:rsidR="00D56E0A" w:rsidRPr="00D56E0A" w:rsidRDefault="00D56E0A" w:rsidP="008D4278">
      <w:pPr>
        <w:jc w:val="both"/>
        <w:rPr>
          <w:rFonts w:ascii="Arial" w:hAnsi="Arial" w:cs="Arial"/>
        </w:rPr>
      </w:pPr>
      <w:r w:rsidRPr="00D56E0A">
        <w:rPr>
          <w:rFonts w:ascii="Arial" w:hAnsi="Arial" w:cs="Arial"/>
        </w:rPr>
        <w:t>De même, la revue illustrée sur la prise en charge des BDUC (Monard et al., RPTH 2024) suggère que les anomalies de la fibrinolyse sont une cause possible de BDUC</w:t>
      </w:r>
    </w:p>
    <w:p w:rsidR="00D56E0A" w:rsidRDefault="008D4278" w:rsidP="008D4278">
      <w:pPr>
        <w:jc w:val="both"/>
        <w:rPr>
          <w:rFonts w:ascii="Arial" w:hAnsi="Arial" w:cs="Arial"/>
        </w:rPr>
      </w:pPr>
      <w:r>
        <w:rPr>
          <w:rFonts w:ascii="Arial" w:hAnsi="Arial" w:cs="Arial"/>
        </w:rPr>
        <w:t xml:space="preserve">et que </w:t>
      </w:r>
      <w:r w:rsidR="00D56E0A" w:rsidRPr="00D56E0A">
        <w:rPr>
          <w:rFonts w:ascii="Arial" w:hAnsi="Arial" w:cs="Arial"/>
        </w:rPr>
        <w:t xml:space="preserve">parmi les investigations biologiques, </w:t>
      </w:r>
      <w:r w:rsidR="00D56E0A">
        <w:rPr>
          <w:rFonts w:ascii="Arial" w:hAnsi="Arial" w:cs="Arial"/>
        </w:rPr>
        <w:t>les</w:t>
      </w:r>
      <w:r w:rsidR="00D56E0A" w:rsidRPr="00D56E0A">
        <w:rPr>
          <w:rFonts w:ascii="Arial" w:hAnsi="Arial" w:cs="Arial"/>
        </w:rPr>
        <w:t xml:space="preserve"> tests de fibrinolyse</w:t>
      </w:r>
      <w:r>
        <w:rPr>
          <w:rFonts w:ascii="Arial" w:hAnsi="Arial" w:cs="Arial"/>
        </w:rPr>
        <w:t xml:space="preserve"> </w:t>
      </w:r>
      <w:r w:rsidR="00D56E0A">
        <w:rPr>
          <w:rFonts w:ascii="Arial" w:hAnsi="Arial" w:cs="Arial"/>
        </w:rPr>
        <w:t>avaient leur place</w:t>
      </w:r>
      <w:r>
        <w:rPr>
          <w:rFonts w:ascii="Arial" w:hAnsi="Arial" w:cs="Arial"/>
        </w:rPr>
        <w:t xml:space="preserve"> en seconde intention</w:t>
      </w:r>
      <w:r w:rsidR="00D56E0A">
        <w:rPr>
          <w:rFonts w:ascii="Arial" w:hAnsi="Arial" w:cs="Arial"/>
        </w:rPr>
        <w:t xml:space="preserve">. </w:t>
      </w:r>
      <w:r w:rsidR="00D56E0A" w:rsidRPr="00D56E0A">
        <w:rPr>
          <w:rFonts w:ascii="Arial" w:hAnsi="Arial" w:cs="Arial"/>
        </w:rPr>
        <w:t xml:space="preserve"> </w:t>
      </w:r>
    </w:p>
    <w:p w:rsidR="00D56E0A" w:rsidRPr="00D56E0A" w:rsidRDefault="00D56E0A" w:rsidP="008D4278">
      <w:pPr>
        <w:jc w:val="both"/>
        <w:rPr>
          <w:rFonts w:ascii="Arial" w:hAnsi="Arial" w:cs="Arial"/>
        </w:rPr>
      </w:pPr>
    </w:p>
    <w:p w:rsidR="00D56E0A" w:rsidRDefault="00D56E0A" w:rsidP="008D4278">
      <w:pPr>
        <w:ind w:left="4245"/>
        <w:jc w:val="both"/>
      </w:pPr>
      <w:r w:rsidRPr="00212EEA">
        <w:rPr>
          <w:noProof/>
        </w:rPr>
        <w:lastRenderedPageBreak/>
        <w:drawing>
          <wp:anchor distT="0" distB="0" distL="114300" distR="114300" simplePos="0" relativeHeight="251659264" behindDoc="0" locked="0" layoutInCell="1" allowOverlap="1" wp14:anchorId="77DF8EEA" wp14:editId="567A9A19">
            <wp:simplePos x="0" y="0"/>
            <wp:positionH relativeFrom="column">
              <wp:posOffset>46355</wp:posOffset>
            </wp:positionH>
            <wp:positionV relativeFrom="paragraph">
              <wp:posOffset>9525</wp:posOffset>
            </wp:positionV>
            <wp:extent cx="2489011" cy="3374524"/>
            <wp:effectExtent l="0" t="0" r="6985" b="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12"/>
                    <a:stretch>
                      <a:fillRect/>
                    </a:stretch>
                  </pic:blipFill>
                  <pic:spPr>
                    <a:xfrm>
                      <a:off x="0" y="0"/>
                      <a:ext cx="2489011" cy="3374524"/>
                    </a:xfrm>
                    <a:prstGeom prst="rect">
                      <a:avLst/>
                    </a:prstGeom>
                  </pic:spPr>
                </pic:pic>
              </a:graphicData>
            </a:graphic>
            <wp14:sizeRelH relativeFrom="margin">
              <wp14:pctWidth>0</wp14:pctWidth>
            </wp14:sizeRelH>
            <wp14:sizeRelV relativeFrom="margin">
              <wp14:pctHeight>0</wp14:pctHeight>
            </wp14:sizeRelV>
          </wp:anchor>
        </w:drawing>
      </w:r>
      <w:r w:rsidRPr="00212EEA">
        <w:rPr>
          <w:noProof/>
        </w:rPr>
        <mc:AlternateContent>
          <mc:Choice Requires="wps">
            <w:drawing>
              <wp:anchor distT="0" distB="0" distL="114300" distR="114300" simplePos="0" relativeHeight="251660288" behindDoc="0" locked="0" layoutInCell="1" allowOverlap="1" wp14:anchorId="38768AEC" wp14:editId="36BC5168">
                <wp:simplePos x="0" y="0"/>
                <wp:positionH relativeFrom="column">
                  <wp:posOffset>1193148</wp:posOffset>
                </wp:positionH>
                <wp:positionV relativeFrom="paragraph">
                  <wp:posOffset>828358</wp:posOffset>
                </wp:positionV>
                <wp:extent cx="1207213" cy="1011345"/>
                <wp:effectExtent l="40958" t="0" r="33972" b="0"/>
                <wp:wrapNone/>
                <wp:docPr id="7" name="Ellipse 6"/>
                <wp:cNvGraphicFramePr/>
                <a:graphic xmlns:a="http://schemas.openxmlformats.org/drawingml/2006/main">
                  <a:graphicData uri="http://schemas.microsoft.com/office/word/2010/wordprocessingShape">
                    <wps:wsp>
                      <wps:cNvSpPr/>
                      <wps:spPr>
                        <a:xfrm rot="7065070">
                          <a:off x="0" y="0"/>
                          <a:ext cx="1207213" cy="101134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21C4FD5" id="Ellipse 6" o:spid="_x0000_s1026" style="position:absolute;margin-left:93.95pt;margin-top:65.25pt;width:95.05pt;height:79.65pt;rotation:771694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" filled="f" strokecolor="red" strokeweight="2pt"/>
            </w:pict>
          </mc:Fallback>
        </mc:AlternateContent>
      </w:r>
      <w:r>
        <w:t xml:space="preserve"> </w:t>
      </w:r>
      <w:r w:rsidRPr="00212EEA">
        <w:rPr>
          <w:noProof/>
        </w:rPr>
        <w:drawing>
          <wp:inline distT="0" distB="0" distL="0" distR="0" wp14:anchorId="718BDC2B" wp14:editId="1D8A5236">
            <wp:extent cx="2887446" cy="2070100"/>
            <wp:effectExtent l="0" t="0" r="8255" b="635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13"/>
                    <a:stretch>
                      <a:fillRect/>
                    </a:stretch>
                  </pic:blipFill>
                  <pic:spPr>
                    <a:xfrm>
                      <a:off x="0" y="0"/>
                      <a:ext cx="2945326" cy="2111596"/>
                    </a:xfrm>
                    <a:prstGeom prst="rect">
                      <a:avLst/>
                    </a:prstGeom>
                  </pic:spPr>
                </pic:pic>
              </a:graphicData>
            </a:graphic>
          </wp:inline>
        </w:drawing>
      </w:r>
      <w:r>
        <w:t xml:space="preserve"> </w:t>
      </w:r>
    </w:p>
    <w:p w:rsidR="00D56E0A" w:rsidRDefault="00D56E0A" w:rsidP="008D4278">
      <w:pPr>
        <w:jc w:val="both"/>
      </w:pPr>
    </w:p>
    <w:p w:rsidR="00D56E0A" w:rsidRDefault="00D56E0A" w:rsidP="008D4278">
      <w:pPr>
        <w:jc w:val="both"/>
      </w:pPr>
    </w:p>
    <w:p w:rsidR="005277C8" w:rsidRDefault="005277C8" w:rsidP="008D4278">
      <w:pPr>
        <w:jc w:val="both"/>
      </w:pPr>
    </w:p>
    <w:p w:rsidR="005277C8" w:rsidRDefault="005277C8" w:rsidP="008D4278">
      <w:pPr>
        <w:jc w:val="both"/>
      </w:pPr>
    </w:p>
    <w:p w:rsidR="005277C8" w:rsidRDefault="005277C8" w:rsidP="008D4278">
      <w:pPr>
        <w:jc w:val="both"/>
      </w:pPr>
    </w:p>
    <w:p w:rsidR="005277C8" w:rsidRDefault="005277C8" w:rsidP="008D4278">
      <w:pPr>
        <w:jc w:val="both"/>
      </w:pPr>
    </w:p>
    <w:p w:rsidR="005277C8" w:rsidRDefault="005277C8" w:rsidP="008D4278">
      <w:pPr>
        <w:jc w:val="both"/>
      </w:pPr>
    </w:p>
    <w:p w:rsidR="005277C8" w:rsidRDefault="005277C8" w:rsidP="008D4278">
      <w:pPr>
        <w:jc w:val="both"/>
      </w:pPr>
    </w:p>
    <w:p w:rsidR="00D56E0A" w:rsidRDefault="00D56E0A" w:rsidP="008D4278">
      <w:pPr>
        <w:jc w:val="both"/>
      </w:pPr>
    </w:p>
    <w:p w:rsidR="00D56E0A" w:rsidRPr="00407F6C" w:rsidRDefault="00D56E0A" w:rsidP="00B70581">
      <w:pPr>
        <w:jc w:val="both"/>
        <w:rPr>
          <w:rFonts w:ascii="Arial" w:hAnsi="Arial" w:cs="Arial"/>
        </w:rPr>
      </w:pPr>
      <w:r w:rsidRPr="00B70581">
        <w:rPr>
          <w:rFonts w:ascii="Arial" w:hAnsi="Arial" w:cs="Arial"/>
          <w:b/>
        </w:rPr>
        <w:t>En conclusion</w:t>
      </w:r>
      <w:r w:rsidRPr="00D56E0A">
        <w:rPr>
          <w:rFonts w:ascii="Arial" w:hAnsi="Arial" w:cs="Arial"/>
        </w:rPr>
        <w:t xml:space="preserve">, l’exploration de la fibrinolyse semble recommandée dans la prise en charge des BDUC. Le TLE original seul permet d’évoquer  déficit en PAI-1 ou une élévation importante du t-PA mais pas le déficit en </w:t>
      </w:r>
      <w:r>
        <w:rPr>
          <w:rFonts w:ascii="Arial" w:hAnsi="Arial" w:cs="Arial"/>
        </w:rPr>
        <w:t xml:space="preserve">alpha </w:t>
      </w:r>
      <w:r w:rsidRPr="00D56E0A">
        <w:rPr>
          <w:rFonts w:ascii="Arial" w:hAnsi="Arial" w:cs="Arial"/>
        </w:rPr>
        <w:t>2 antiplasmine ni en TAFI. Le rendement diagnostique du TLE et de l’exploration de la fibrinolyse est sans doute bien meilleur lorsque les patients sont bien ciblés. Dans l’ « impasse diagnostique » de la filière MHEMO, l’exploration de la fibrinolyse comporte le dosage d’</w:t>
      </w:r>
      <w:r>
        <w:rPr>
          <w:rFonts w:ascii="Arial" w:hAnsi="Arial" w:cs="Arial"/>
        </w:rPr>
        <w:t>alpha</w:t>
      </w:r>
      <w:r w:rsidRPr="00D56E0A">
        <w:rPr>
          <w:rFonts w:ascii="Arial" w:hAnsi="Arial" w:cs="Arial"/>
        </w:rPr>
        <w:t xml:space="preserve">2 antiplasmine et de PAI-1 antigène sérique pour diagnostiquer le déficit en </w:t>
      </w:r>
      <w:r>
        <w:rPr>
          <w:rFonts w:ascii="Arial" w:hAnsi="Arial" w:cs="Arial"/>
        </w:rPr>
        <w:t xml:space="preserve">PAI-1 </w:t>
      </w:r>
      <w:r w:rsidRPr="00D56E0A">
        <w:rPr>
          <w:rFonts w:ascii="Arial" w:hAnsi="Arial" w:cs="Arial"/>
        </w:rPr>
        <w:t>mais pour les laboratoires ne disposant pas de ce dosage pourquoi ne pas faire un TLE capable de dépister le déficit en PAI-1 en première intention avant l’envoi du dosage.</w:t>
      </w:r>
      <w:r w:rsidR="00407F6C">
        <w:rPr>
          <w:rFonts w:ascii="Arial" w:hAnsi="Arial" w:cs="Arial"/>
        </w:rPr>
        <w:t xml:space="preserve"> </w:t>
      </w:r>
      <w:r w:rsidRPr="00D56E0A">
        <w:rPr>
          <w:rFonts w:ascii="Arial" w:hAnsi="Arial" w:cs="Arial"/>
        </w:rPr>
        <w:t xml:space="preserve">Pour avancer un peu, nous allons recueillir les modes opératoires de tous les laboratoires qui font encore du TLE et tenter d’harmoniser nos pratiques avant l’envoi du prochain CIL. </w:t>
      </w:r>
      <w:r>
        <w:tab/>
      </w:r>
      <w:r>
        <w:tab/>
      </w:r>
      <w:r>
        <w:tab/>
      </w:r>
      <w:r>
        <w:tab/>
      </w:r>
      <w:r>
        <w:tab/>
      </w:r>
    </w:p>
    <w:p w:rsidR="00AF1170" w:rsidRPr="00EC79AE" w:rsidRDefault="00AF1170" w:rsidP="008D4278">
      <w:pPr>
        <w:pStyle w:val="Paragraphedeliste"/>
        <w:ind w:left="360"/>
        <w:jc w:val="both"/>
        <w:rPr>
          <w:rFonts w:ascii="Arial" w:hAnsi="Arial" w:cs="Arial"/>
          <w:color w:val="0000FF"/>
        </w:rPr>
      </w:pPr>
    </w:p>
    <w:p w:rsidR="00407F6C" w:rsidRPr="00407F6C" w:rsidRDefault="00407F6C" w:rsidP="008D4278">
      <w:pPr>
        <w:pStyle w:val="Paragraphedeliste"/>
        <w:numPr>
          <w:ilvl w:val="0"/>
          <w:numId w:val="2"/>
        </w:numPr>
        <w:spacing w:after="160" w:line="259" w:lineRule="auto"/>
        <w:contextualSpacing/>
        <w:jc w:val="both"/>
        <w:rPr>
          <w:rFonts w:ascii="Arial" w:hAnsi="Arial" w:cs="Arial"/>
          <w:b/>
          <w:color w:val="FF0000"/>
        </w:rPr>
      </w:pPr>
      <w:r w:rsidRPr="00407F6C">
        <w:rPr>
          <w:rFonts w:ascii="Arial" w:hAnsi="Arial" w:cs="Arial"/>
          <w:b/>
          <w:color w:val="FF0000"/>
        </w:rPr>
        <w:t>Développement d’un test rapide automatisé de titrage des inhibiteurs de type anti VIII – test insensible à l’Emicizumab</w:t>
      </w:r>
      <w:r>
        <w:rPr>
          <w:rFonts w:ascii="Arial" w:hAnsi="Arial" w:cs="Arial"/>
          <w:b/>
          <w:color w:val="FF0000"/>
        </w:rPr>
        <w:t xml:space="preserve"> : </w:t>
      </w:r>
      <w:r>
        <w:rPr>
          <w:rFonts w:ascii="Arial" w:hAnsi="Arial" w:cs="Arial"/>
          <w:color w:val="0000FF"/>
        </w:rPr>
        <w:t>F Sobas</w:t>
      </w:r>
    </w:p>
    <w:p w:rsidR="00407F6C" w:rsidRPr="008D4278" w:rsidRDefault="00407F6C" w:rsidP="008D4278">
      <w:pPr>
        <w:jc w:val="both"/>
        <w:rPr>
          <w:rFonts w:ascii="Arial" w:hAnsi="Arial" w:cs="Arial"/>
        </w:rPr>
      </w:pPr>
      <w:r w:rsidRPr="008D4278">
        <w:rPr>
          <w:rFonts w:ascii="Arial" w:hAnsi="Arial" w:cs="Arial"/>
        </w:rPr>
        <w:t>Il a été présenté la trousse via un support préparé par Nikolaus Binder (sté Technoclone) pour décrire techniquement la méthodologie avec ci-dessous deux diapos de synthèse :</w:t>
      </w:r>
    </w:p>
    <w:p w:rsidR="00407F6C" w:rsidRDefault="00407F6C" w:rsidP="008D4278">
      <w:pPr>
        <w:jc w:val="both"/>
      </w:pPr>
    </w:p>
    <w:p w:rsidR="00407F6C" w:rsidRDefault="00407F6C" w:rsidP="008D4278">
      <w:pPr>
        <w:jc w:val="both"/>
      </w:pPr>
    </w:p>
    <w:p w:rsidR="00407F6C" w:rsidRDefault="00407F6C" w:rsidP="00B70581">
      <w:pPr>
        <w:jc w:val="center"/>
      </w:pPr>
      <w:r w:rsidRPr="005770FE">
        <w:rPr>
          <w:noProof/>
        </w:rPr>
        <w:drawing>
          <wp:inline distT="0" distB="0" distL="0" distR="0" wp14:anchorId="0B42D39D" wp14:editId="1DBCEE40">
            <wp:extent cx="4000500" cy="1488631"/>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7494" cy="1494955"/>
                    </a:xfrm>
                    <a:prstGeom prst="rect">
                      <a:avLst/>
                    </a:prstGeom>
                    <a:noFill/>
                    <a:ln>
                      <a:noFill/>
                    </a:ln>
                  </pic:spPr>
                </pic:pic>
              </a:graphicData>
            </a:graphic>
          </wp:inline>
        </w:drawing>
      </w:r>
    </w:p>
    <w:p w:rsidR="00407F6C" w:rsidRDefault="00407F6C" w:rsidP="00B70581">
      <w:pPr>
        <w:jc w:val="center"/>
      </w:pPr>
      <w:r w:rsidRPr="005770FE">
        <w:rPr>
          <w:noProof/>
        </w:rPr>
        <w:lastRenderedPageBreak/>
        <w:drawing>
          <wp:inline distT="0" distB="0" distL="0" distR="0" wp14:anchorId="5B27D59A" wp14:editId="223A6B42">
            <wp:extent cx="4159250" cy="2148443"/>
            <wp:effectExtent l="0" t="0" r="0"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70476" cy="2154242"/>
                    </a:xfrm>
                    <a:prstGeom prst="rect">
                      <a:avLst/>
                    </a:prstGeom>
                    <a:noFill/>
                    <a:ln>
                      <a:noFill/>
                    </a:ln>
                  </pic:spPr>
                </pic:pic>
              </a:graphicData>
            </a:graphic>
          </wp:inline>
        </w:drawing>
      </w:r>
    </w:p>
    <w:p w:rsidR="00407F6C" w:rsidRDefault="00407F6C" w:rsidP="008D4278">
      <w:pPr>
        <w:jc w:val="both"/>
      </w:pPr>
    </w:p>
    <w:p w:rsidR="00407F6C" w:rsidRDefault="00407F6C" w:rsidP="008D4278">
      <w:pPr>
        <w:jc w:val="both"/>
      </w:pPr>
    </w:p>
    <w:p w:rsidR="00407F6C" w:rsidRDefault="00407F6C" w:rsidP="008D4278">
      <w:pPr>
        <w:jc w:val="both"/>
      </w:pPr>
    </w:p>
    <w:p w:rsidR="00407F6C" w:rsidRPr="00407F6C" w:rsidRDefault="00407F6C" w:rsidP="008D4278">
      <w:pPr>
        <w:jc w:val="both"/>
        <w:rPr>
          <w:rFonts w:ascii="Arial" w:hAnsi="Arial" w:cs="Arial"/>
          <w:u w:val="single"/>
        </w:rPr>
      </w:pPr>
      <w:r w:rsidRPr="00407F6C">
        <w:rPr>
          <w:rFonts w:ascii="Arial" w:hAnsi="Arial" w:cs="Arial"/>
          <w:u w:val="single"/>
        </w:rPr>
        <w:t>Particularités de la trousse :</w:t>
      </w:r>
    </w:p>
    <w:p w:rsidR="00407F6C" w:rsidRPr="00407F6C" w:rsidRDefault="00407F6C" w:rsidP="008D4278">
      <w:pPr>
        <w:jc w:val="both"/>
        <w:rPr>
          <w:rFonts w:ascii="Arial" w:hAnsi="Arial" w:cs="Arial"/>
        </w:rPr>
      </w:pPr>
      <w:r w:rsidRPr="00407F6C">
        <w:rPr>
          <w:rFonts w:ascii="Arial" w:hAnsi="Arial" w:cs="Arial"/>
        </w:rPr>
        <w:t xml:space="preserve">-Il faut disposer de l’appareil Ceveron </w:t>
      </w:r>
    </w:p>
    <w:p w:rsidR="00407F6C" w:rsidRPr="00407F6C" w:rsidRDefault="00407F6C" w:rsidP="008D4278">
      <w:pPr>
        <w:jc w:val="both"/>
        <w:rPr>
          <w:rFonts w:ascii="Arial" w:hAnsi="Arial" w:cs="Arial"/>
        </w:rPr>
      </w:pPr>
      <w:r w:rsidRPr="00407F6C">
        <w:rPr>
          <w:rFonts w:ascii="Arial" w:hAnsi="Arial" w:cs="Arial"/>
        </w:rPr>
        <w:t xml:space="preserve">-Kovaltry au lieu du facteur VIII natif : absence de facteur Willebrand = vélocité de la capture des anti VIII (il serait intéressant de tester les Ac de type II pour caractériser précisément la vélocité de la trousse) </w:t>
      </w:r>
    </w:p>
    <w:p w:rsidR="00407F6C" w:rsidRPr="00407F6C" w:rsidRDefault="00407F6C" w:rsidP="008D4278">
      <w:pPr>
        <w:jc w:val="both"/>
        <w:rPr>
          <w:rFonts w:ascii="Arial" w:hAnsi="Arial" w:cs="Arial"/>
        </w:rPr>
      </w:pPr>
      <w:r w:rsidRPr="00407F6C">
        <w:rPr>
          <w:rFonts w:ascii="Arial" w:hAnsi="Arial" w:cs="Arial"/>
        </w:rPr>
        <w:t xml:space="preserve">-Limite de quantification annoncée à 0.2 UB/ml </w:t>
      </w:r>
    </w:p>
    <w:p w:rsidR="00407F6C" w:rsidRPr="008D4278" w:rsidRDefault="00407F6C" w:rsidP="008D4278">
      <w:pPr>
        <w:jc w:val="both"/>
        <w:rPr>
          <w:rFonts w:ascii="Arial" w:hAnsi="Arial" w:cs="Arial"/>
        </w:rPr>
      </w:pPr>
      <w:r w:rsidRPr="00407F6C">
        <w:rPr>
          <w:rFonts w:ascii="Arial" w:hAnsi="Arial" w:cs="Arial"/>
        </w:rPr>
        <w:t>Nikolaus Binder (</w:t>
      </w:r>
      <w:hyperlink r:id="rId16" w:history="1">
        <w:r w:rsidRPr="00407F6C">
          <w:rPr>
            <w:rStyle w:val="Lienhypertexte"/>
            <w:rFonts w:ascii="Arial" w:hAnsi="Arial" w:cs="Arial"/>
          </w:rPr>
          <w:t>Nikolaus.Binder@technoclone.com</w:t>
        </w:r>
      </w:hyperlink>
      <w:r w:rsidRPr="00407F6C">
        <w:rPr>
          <w:rFonts w:ascii="Arial" w:hAnsi="Arial" w:cs="Arial"/>
        </w:rPr>
        <w:t xml:space="preserve">) est ouvert à toute étude prospective (objectif IVDR) pour étoffer le dossier « performance » de cette trousse. </w:t>
      </w:r>
    </w:p>
    <w:p w:rsidR="00407F6C" w:rsidRDefault="00407F6C" w:rsidP="008D4278">
      <w:pPr>
        <w:jc w:val="both"/>
      </w:pPr>
    </w:p>
    <w:p w:rsidR="00AF1170" w:rsidRPr="00407F6C" w:rsidRDefault="00AF1170" w:rsidP="008D4278">
      <w:pPr>
        <w:pStyle w:val="Paragraphedeliste"/>
        <w:numPr>
          <w:ilvl w:val="0"/>
          <w:numId w:val="2"/>
        </w:numPr>
        <w:jc w:val="both"/>
        <w:rPr>
          <w:rFonts w:ascii="Arial" w:hAnsi="Arial" w:cs="Arial"/>
        </w:rPr>
      </w:pPr>
      <w:r w:rsidRPr="00970CC2">
        <w:rPr>
          <w:rFonts w:ascii="Arial" w:hAnsi="Arial" w:cs="Arial"/>
          <w:b/>
          <w:color w:val="FF0000"/>
        </w:rPr>
        <w:t>Retour sur la recherche d’un anti facteur</w:t>
      </w:r>
      <w:r w:rsidRPr="00407F6C">
        <w:rPr>
          <w:rFonts w:ascii="Arial" w:hAnsi="Arial" w:cs="Arial"/>
        </w:rPr>
        <w:t xml:space="preserve">: </w:t>
      </w:r>
      <w:r w:rsidRPr="00407F6C">
        <w:rPr>
          <w:rFonts w:ascii="Arial" w:hAnsi="Arial" w:cs="Arial"/>
          <w:color w:val="0000FF"/>
        </w:rPr>
        <w:t>P. Toulon</w:t>
      </w:r>
    </w:p>
    <w:p w:rsidR="00AF1170" w:rsidRDefault="00AF1170" w:rsidP="008D4278">
      <w:pPr>
        <w:pStyle w:val="Paragraphedeliste"/>
        <w:ind w:left="2124" w:hanging="2124"/>
        <w:jc w:val="both"/>
        <w:rPr>
          <w:rFonts w:ascii="Arial" w:hAnsi="Arial" w:cs="Arial"/>
          <w:b/>
        </w:rPr>
      </w:pPr>
    </w:p>
    <w:p w:rsidR="00970CC2" w:rsidRPr="00970CC2" w:rsidRDefault="00970CC2" w:rsidP="00970CC2">
      <w:pPr>
        <w:pStyle w:val="Paragraphedeliste"/>
        <w:ind w:left="0"/>
        <w:jc w:val="both"/>
        <w:rPr>
          <w:rFonts w:ascii="Arial" w:hAnsi="Arial" w:cs="Arial"/>
        </w:rPr>
      </w:pPr>
      <w:r w:rsidRPr="00970CC2">
        <w:rPr>
          <w:rFonts w:ascii="Arial" w:hAnsi="Arial" w:cs="Arial"/>
        </w:rPr>
        <w:t>Un questionnaire sur les pratiques de recherche d’un anti VI</w:t>
      </w:r>
      <w:r>
        <w:rPr>
          <w:rFonts w:ascii="Arial" w:hAnsi="Arial" w:cs="Arial"/>
        </w:rPr>
        <w:t xml:space="preserve">II a été adressé à </w:t>
      </w:r>
      <w:r w:rsidRPr="00970CC2">
        <w:rPr>
          <w:rFonts w:ascii="Arial" w:hAnsi="Arial" w:cs="Arial"/>
        </w:rPr>
        <w:t>l’</w:t>
      </w:r>
      <w:r>
        <w:rPr>
          <w:rFonts w:ascii="Arial" w:hAnsi="Arial" w:cs="Arial"/>
        </w:rPr>
        <w:t xml:space="preserve">ensemble </w:t>
      </w:r>
      <w:r w:rsidRPr="00970CC2">
        <w:rPr>
          <w:rFonts w:ascii="Arial" w:hAnsi="Arial" w:cs="Arial"/>
        </w:rPr>
        <w:t>des membres du BIMHO</w:t>
      </w:r>
      <w:r>
        <w:rPr>
          <w:rFonts w:ascii="Arial" w:hAnsi="Arial" w:cs="Arial"/>
        </w:rPr>
        <w:t xml:space="preserve"> ainsi qu’à plusieurs autres centres (n = 5). 46 centres réalisent la recherche /titrage d’un anti FVIII et 42 la recherche d’un anti FIX. Il existe une grande hétérogénéité des techniques sans suivi des recommandations du BIMHO de 2014 ou de l’ICSH de 2023. 82.6% des centres utilisent un CIQ anti FVIII passé dans chaque série. 84.8% des centres participent à un EEQ.</w:t>
      </w:r>
      <w:r w:rsidRPr="00970CC2">
        <w:rPr>
          <w:rFonts w:ascii="Arial" w:hAnsi="Arial" w:cs="Arial"/>
        </w:rPr>
        <w:t xml:space="preserve"> Les résultats aux EEQ ECAT sont très satisfaisants avec des Z-score entre -1.0 et +1.0 pour près de 85% des exercices, et seulement 1% de Z-scores au-delà de 2,0 (valeur absolue). Il ne semble pas y avoir d’impact des modalités techniques sur ces performances (uni-et multi-variés).</w:t>
      </w:r>
    </w:p>
    <w:p w:rsidR="00970CC2" w:rsidRPr="00457ED1" w:rsidRDefault="00970CC2" w:rsidP="00457ED1">
      <w:pPr>
        <w:jc w:val="both"/>
        <w:rPr>
          <w:rFonts w:ascii="Arial" w:hAnsi="Arial" w:cs="Arial"/>
        </w:rPr>
      </w:pPr>
    </w:p>
    <w:p w:rsidR="00131718" w:rsidRPr="00131718" w:rsidRDefault="00836122" w:rsidP="00131718">
      <w:pPr>
        <w:pStyle w:val="NormalWeb"/>
        <w:numPr>
          <w:ilvl w:val="0"/>
          <w:numId w:val="2"/>
        </w:numPr>
        <w:shd w:val="clear" w:color="auto" w:fill="FFFFFF"/>
        <w:spacing w:before="0" w:beforeAutospacing="0" w:after="0" w:afterAutospacing="0"/>
        <w:jc w:val="both"/>
        <w:rPr>
          <w:color w:val="000000"/>
        </w:rPr>
      </w:pPr>
      <w:r w:rsidRPr="00AF1170">
        <w:rPr>
          <w:rFonts w:ascii="Arial" w:eastAsia="Arial Unicode MS" w:hAnsi="Arial" w:cs="Arial"/>
          <w:b/>
          <w:color w:val="FF0000"/>
        </w:rPr>
        <w:t>Les projets en cours</w:t>
      </w:r>
      <w:r w:rsidRPr="00AF1170">
        <w:rPr>
          <w:rFonts w:ascii="Arial" w:eastAsia="Arial Unicode MS" w:hAnsi="Arial" w:cs="Arial"/>
          <w:color w:val="FF0000"/>
        </w:rPr>
        <w:t xml:space="preserve"> :</w:t>
      </w:r>
      <w:r w:rsidR="00666310" w:rsidRPr="00AF1170">
        <w:rPr>
          <w:rFonts w:ascii="Arial" w:eastAsia="Arial Unicode MS" w:hAnsi="Arial" w:cs="Arial"/>
          <w:color w:val="FF0000"/>
        </w:rPr>
        <w:t xml:space="preserve"> </w:t>
      </w:r>
    </w:p>
    <w:p w:rsidR="00131718" w:rsidRDefault="00131718" w:rsidP="00131718">
      <w:pPr>
        <w:pStyle w:val="Paragraphedeliste"/>
        <w:rPr>
          <w:rFonts w:ascii="Arial" w:hAnsi="Arial" w:cs="Arial"/>
          <w:shd w:val="clear" w:color="auto" w:fill="FFFFFF"/>
        </w:rPr>
      </w:pPr>
    </w:p>
    <w:p w:rsidR="00AF1170" w:rsidRPr="00131718" w:rsidRDefault="00131718" w:rsidP="00131718">
      <w:pPr>
        <w:pStyle w:val="NormalWeb"/>
        <w:numPr>
          <w:ilvl w:val="1"/>
          <w:numId w:val="23"/>
        </w:numPr>
        <w:shd w:val="clear" w:color="auto" w:fill="FFFFFF"/>
        <w:spacing w:before="0" w:beforeAutospacing="0" w:after="0" w:afterAutospacing="0"/>
        <w:jc w:val="both"/>
        <w:rPr>
          <w:color w:val="000000"/>
        </w:rPr>
      </w:pPr>
      <w:r w:rsidRPr="00BB7FD0">
        <w:rPr>
          <w:rFonts w:ascii="Arial" w:hAnsi="Arial" w:cs="Arial"/>
          <w:b/>
          <w:shd w:val="clear" w:color="auto" w:fill="FFFFFF"/>
        </w:rPr>
        <w:t>Etude de la l</w:t>
      </w:r>
      <w:r w:rsidR="00AF1170" w:rsidRPr="00BB7FD0">
        <w:rPr>
          <w:rFonts w:ascii="Arial" w:hAnsi="Arial" w:cs="Arial"/>
          <w:b/>
          <w:shd w:val="clear" w:color="auto" w:fill="FFFFFF"/>
        </w:rPr>
        <w:t>imite quantification anti-VIII</w:t>
      </w:r>
      <w:r w:rsidR="00AF1170" w:rsidRPr="00131718">
        <w:rPr>
          <w:rFonts w:ascii="Arial" w:hAnsi="Arial" w:cs="Arial"/>
          <w:color w:val="0000FF"/>
          <w:shd w:val="clear" w:color="auto" w:fill="FFFFFF"/>
        </w:rPr>
        <w:t> : Paul Parpaillon, D.  Lasne, Claire Poupard, EA Guéry, M Tuffigo</w:t>
      </w:r>
    </w:p>
    <w:p w:rsidR="00131718" w:rsidRPr="00B039AD" w:rsidRDefault="00131718" w:rsidP="00131718">
      <w:pPr>
        <w:rPr>
          <w:sz w:val="14"/>
        </w:rPr>
      </w:pPr>
    </w:p>
    <w:p w:rsidR="00131718" w:rsidRPr="00131718" w:rsidRDefault="00131718" w:rsidP="00131718">
      <w:pPr>
        <w:jc w:val="both"/>
        <w:rPr>
          <w:rFonts w:ascii="Arial" w:hAnsi="Arial" w:cs="Arial"/>
        </w:rPr>
      </w:pPr>
      <w:r w:rsidRPr="00131718">
        <w:rPr>
          <w:rFonts w:ascii="Arial" w:hAnsi="Arial" w:cs="Arial"/>
        </w:rPr>
        <w:t xml:space="preserve">L’objectif de cette étude est de déterminer la limite de quantification du titrage des inhibiteurs anti-facteur VIII (admise à 0.4 UB/mL jusqu’à présent bien que des divergences existent dans la littérature). Cette étude </w:t>
      </w:r>
      <w:r w:rsidRPr="00131718">
        <w:rPr>
          <w:rFonts w:ascii="Arial" w:hAnsi="Arial" w:cs="Arial"/>
          <w:i/>
        </w:rPr>
        <w:t>in vitro</w:t>
      </w:r>
      <w:r w:rsidRPr="00131718">
        <w:rPr>
          <w:rFonts w:ascii="Arial" w:hAnsi="Arial" w:cs="Arial"/>
        </w:rPr>
        <w:t xml:space="preserve"> sera piloté par Tours, Angers et Necker et fera l’objet de la thèse d’exercice de Paul Parpaillon.</w:t>
      </w:r>
    </w:p>
    <w:p w:rsidR="00131718" w:rsidRPr="00131718" w:rsidRDefault="00131718" w:rsidP="00131718">
      <w:pPr>
        <w:jc w:val="both"/>
        <w:rPr>
          <w:rFonts w:ascii="Arial" w:hAnsi="Arial" w:cs="Arial"/>
        </w:rPr>
      </w:pPr>
      <w:r w:rsidRPr="00131718">
        <w:rPr>
          <w:rFonts w:ascii="Arial" w:hAnsi="Arial" w:cs="Arial"/>
        </w:rPr>
        <w:t>Un appel à participation a été réalisé cet hiver et a permis de sélectionner 17 centres.</w:t>
      </w:r>
    </w:p>
    <w:p w:rsidR="00131718" w:rsidRPr="00131718" w:rsidRDefault="00131718" w:rsidP="00131718">
      <w:pPr>
        <w:jc w:val="both"/>
        <w:rPr>
          <w:rFonts w:ascii="Arial" w:hAnsi="Arial" w:cs="Arial"/>
        </w:rPr>
      </w:pPr>
      <w:r w:rsidRPr="00131718">
        <w:rPr>
          <w:rFonts w:ascii="Arial" w:hAnsi="Arial" w:cs="Arial"/>
        </w:rPr>
        <w:t xml:space="preserve">Le protocole initial prévoit de réaliser, à partir d’un plasma humain d’hémophile A spiké avec un inhibiteur anti-FVIII naturel (Factor VIII Inhibitor Plasma, Cryopep®) des échantillons à 1 UB/mL, 0.6 UB/mL, 0.5 UB/mL, 0.4 UB/mL, 0.3 UB/mL et 0 UB/mL. </w:t>
      </w:r>
      <w:r w:rsidRPr="00131718">
        <w:rPr>
          <w:rFonts w:ascii="Arial" w:hAnsi="Arial" w:cs="Arial"/>
        </w:rPr>
        <w:lastRenderedPageBreak/>
        <w:t>Les préparations seront réalisées par des dilutions en cascade en plasma déficient en FVIII (ImmunoDef, STAGO®). Pour chaque dilution, les centres réaliseront le titrage 3 fois par méthodes chronométrique et chromogénique sur 3 jours différents.</w:t>
      </w:r>
    </w:p>
    <w:p w:rsidR="00131718" w:rsidRPr="00131718" w:rsidRDefault="00131718" w:rsidP="00131718">
      <w:pPr>
        <w:jc w:val="both"/>
        <w:rPr>
          <w:rFonts w:ascii="Arial" w:hAnsi="Arial" w:cs="Arial"/>
        </w:rPr>
      </w:pPr>
      <w:r w:rsidRPr="00131718">
        <w:rPr>
          <w:rFonts w:ascii="Arial" w:hAnsi="Arial" w:cs="Arial"/>
        </w:rPr>
        <w:t>Il a été préalablement vérifié que le FVIII était &lt; 1% dans le contrôle Cryopep® et l’ImmunoDef. Le contrôle Cryopep® a également été titré selon les deux méthodes.</w:t>
      </w:r>
    </w:p>
    <w:p w:rsidR="00B70581" w:rsidRDefault="00131718" w:rsidP="00131718">
      <w:pPr>
        <w:jc w:val="both"/>
        <w:rPr>
          <w:rFonts w:ascii="Arial" w:hAnsi="Arial" w:cs="Arial"/>
        </w:rPr>
      </w:pPr>
      <w:r w:rsidRPr="00131718">
        <w:rPr>
          <w:rFonts w:ascii="Arial" w:hAnsi="Arial" w:cs="Arial"/>
        </w:rPr>
        <w:t xml:space="preserve">En réalisant les premiers tests sur les lots de déficient en FVIII (Siemens®) et anti-VIII Cryopep® actuellement disponibles au laboratoire du CHU de Tours, il a été observé des résultats inattendus avec des titres &lt; 0.4 UB/mL pour l’ensemble des dilutions (en méthodes chronométrique et chromogénique). Ces résultats ont été vérifiés et de nouveaux tests ont été réalisés en diluant l’anti-VIII Cryopep® en tampon imidazole et en diluant un échantillon de patient ayant un anti-VIII en déficient en FVIII et en tampon imidazole. </w:t>
      </w:r>
    </w:p>
    <w:p w:rsidR="00B70581" w:rsidRDefault="00B70581" w:rsidP="00131718">
      <w:pPr>
        <w:jc w:val="both"/>
        <w:rPr>
          <w:rFonts w:ascii="Arial" w:hAnsi="Arial" w:cs="Arial"/>
        </w:rPr>
      </w:pPr>
    </w:p>
    <w:p w:rsidR="00131718" w:rsidRDefault="00131718" w:rsidP="00131718">
      <w:pPr>
        <w:jc w:val="both"/>
        <w:rPr>
          <w:rFonts w:ascii="Arial" w:hAnsi="Arial" w:cs="Arial"/>
        </w:rPr>
      </w:pPr>
      <w:r w:rsidRPr="00131718">
        <w:rPr>
          <w:rFonts w:ascii="Arial" w:hAnsi="Arial" w:cs="Arial"/>
        </w:rPr>
        <w:t>Les résultats sont présentés dans le tableau ci-dessous.</w:t>
      </w:r>
    </w:p>
    <w:p w:rsidR="00131718" w:rsidRPr="00131718" w:rsidRDefault="00131718" w:rsidP="00131718">
      <w:pPr>
        <w:jc w:val="both"/>
        <w:rPr>
          <w:rFonts w:ascii="Arial" w:hAnsi="Arial" w:cs="Arial"/>
        </w:rPr>
      </w:pPr>
    </w:p>
    <w:p w:rsidR="00131718" w:rsidRPr="00131718" w:rsidRDefault="00131718" w:rsidP="00131718">
      <w:pPr>
        <w:jc w:val="both"/>
        <w:rPr>
          <w:rFonts w:ascii="Arial" w:hAnsi="Arial" w:cs="Arial"/>
          <w:sz w:val="6"/>
        </w:rPr>
      </w:pPr>
    </w:p>
    <w:tbl>
      <w:tblPr>
        <w:tblStyle w:val="Grilledutableau"/>
        <w:tblW w:w="0" w:type="auto"/>
        <w:tblLayout w:type="fixed"/>
        <w:tblLook w:val="04A0" w:firstRow="1" w:lastRow="0" w:firstColumn="1" w:lastColumn="0" w:noHBand="0" w:noVBand="1"/>
      </w:tblPr>
      <w:tblGrid>
        <w:gridCol w:w="1271"/>
        <w:gridCol w:w="1418"/>
        <w:gridCol w:w="850"/>
        <w:gridCol w:w="851"/>
        <w:gridCol w:w="992"/>
        <w:gridCol w:w="874"/>
        <w:gridCol w:w="935"/>
        <w:gridCol w:w="935"/>
        <w:gridCol w:w="936"/>
      </w:tblGrid>
      <w:tr w:rsidR="00131718" w:rsidTr="00A43F47">
        <w:trPr>
          <w:trHeight w:val="376"/>
        </w:trPr>
        <w:tc>
          <w:tcPr>
            <w:tcW w:w="2689" w:type="dxa"/>
            <w:gridSpan w:val="2"/>
            <w:shd w:val="clear" w:color="auto" w:fill="000000" w:themeFill="text1"/>
            <w:vAlign w:val="center"/>
          </w:tcPr>
          <w:p w:rsidR="00131718" w:rsidRPr="00720079" w:rsidRDefault="00131718" w:rsidP="00A43F47">
            <w:pPr>
              <w:jc w:val="center"/>
              <w:rPr>
                <w:sz w:val="18"/>
                <w:szCs w:val="18"/>
              </w:rPr>
            </w:pPr>
          </w:p>
        </w:tc>
        <w:tc>
          <w:tcPr>
            <w:tcW w:w="6373" w:type="dxa"/>
            <w:gridSpan w:val="7"/>
            <w:shd w:val="clear" w:color="auto" w:fill="D9D9D9" w:themeFill="background1" w:themeFillShade="D9"/>
            <w:vAlign w:val="center"/>
          </w:tcPr>
          <w:p w:rsidR="00131718" w:rsidRPr="00AC20A8" w:rsidRDefault="00131718" w:rsidP="00A43F47">
            <w:pPr>
              <w:jc w:val="center"/>
              <w:rPr>
                <w:b/>
                <w:sz w:val="18"/>
                <w:szCs w:val="18"/>
              </w:rPr>
            </w:pPr>
            <w:r w:rsidRPr="00AC20A8">
              <w:rPr>
                <w:b/>
                <w:sz w:val="18"/>
                <w:szCs w:val="18"/>
              </w:rPr>
              <w:t>Titres attendus</w:t>
            </w:r>
            <w:r>
              <w:rPr>
                <w:b/>
                <w:sz w:val="18"/>
                <w:szCs w:val="18"/>
              </w:rPr>
              <w:t xml:space="preserve"> (UB/mL)</w:t>
            </w:r>
          </w:p>
        </w:tc>
      </w:tr>
      <w:tr w:rsidR="00131718" w:rsidTr="00A43F47">
        <w:trPr>
          <w:trHeight w:val="376"/>
        </w:trPr>
        <w:tc>
          <w:tcPr>
            <w:tcW w:w="2689" w:type="dxa"/>
            <w:gridSpan w:val="2"/>
            <w:vMerge w:val="restart"/>
            <w:shd w:val="clear" w:color="auto" w:fill="000000" w:themeFill="text1"/>
            <w:vAlign w:val="center"/>
          </w:tcPr>
          <w:p w:rsidR="00131718" w:rsidRPr="00720079" w:rsidRDefault="00131718" w:rsidP="00A43F47">
            <w:pPr>
              <w:jc w:val="center"/>
              <w:rPr>
                <w:sz w:val="18"/>
                <w:szCs w:val="18"/>
              </w:rPr>
            </w:pPr>
          </w:p>
        </w:tc>
        <w:tc>
          <w:tcPr>
            <w:tcW w:w="850" w:type="dxa"/>
            <w:shd w:val="clear" w:color="auto" w:fill="FFFFFF" w:themeFill="background1"/>
            <w:vAlign w:val="center"/>
          </w:tcPr>
          <w:p w:rsidR="00131718" w:rsidRPr="00720079" w:rsidRDefault="00131718" w:rsidP="00A43F47">
            <w:pPr>
              <w:jc w:val="center"/>
              <w:rPr>
                <w:sz w:val="18"/>
                <w:szCs w:val="18"/>
              </w:rPr>
            </w:pPr>
            <w:r w:rsidRPr="00720079">
              <w:rPr>
                <w:sz w:val="18"/>
                <w:szCs w:val="18"/>
              </w:rPr>
              <w:t>5</w:t>
            </w:r>
          </w:p>
        </w:tc>
        <w:tc>
          <w:tcPr>
            <w:tcW w:w="851" w:type="dxa"/>
            <w:shd w:val="clear" w:color="auto" w:fill="FFFFFF" w:themeFill="background1"/>
            <w:vAlign w:val="center"/>
          </w:tcPr>
          <w:p w:rsidR="00131718" w:rsidRPr="00720079" w:rsidRDefault="00131718" w:rsidP="00A43F47">
            <w:pPr>
              <w:jc w:val="center"/>
              <w:rPr>
                <w:sz w:val="18"/>
                <w:szCs w:val="18"/>
              </w:rPr>
            </w:pPr>
            <w:r>
              <w:rPr>
                <w:sz w:val="18"/>
                <w:szCs w:val="18"/>
              </w:rPr>
              <w:t>3</w:t>
            </w:r>
          </w:p>
        </w:tc>
        <w:tc>
          <w:tcPr>
            <w:tcW w:w="992" w:type="dxa"/>
            <w:shd w:val="clear" w:color="auto" w:fill="FFFFFF" w:themeFill="background1"/>
            <w:vAlign w:val="center"/>
          </w:tcPr>
          <w:p w:rsidR="00131718" w:rsidRPr="00720079" w:rsidRDefault="00131718" w:rsidP="00A43F47">
            <w:pPr>
              <w:jc w:val="center"/>
              <w:rPr>
                <w:sz w:val="18"/>
                <w:szCs w:val="18"/>
              </w:rPr>
            </w:pPr>
            <w:r>
              <w:rPr>
                <w:sz w:val="18"/>
                <w:szCs w:val="18"/>
              </w:rPr>
              <w:t>1</w:t>
            </w:r>
          </w:p>
        </w:tc>
        <w:tc>
          <w:tcPr>
            <w:tcW w:w="874" w:type="dxa"/>
            <w:shd w:val="clear" w:color="auto" w:fill="FFFFFF" w:themeFill="background1"/>
            <w:vAlign w:val="center"/>
          </w:tcPr>
          <w:p w:rsidR="00131718" w:rsidRPr="00720079" w:rsidRDefault="00131718" w:rsidP="00A43F47">
            <w:pPr>
              <w:jc w:val="center"/>
              <w:rPr>
                <w:sz w:val="18"/>
                <w:szCs w:val="18"/>
              </w:rPr>
            </w:pPr>
            <w:r>
              <w:rPr>
                <w:sz w:val="18"/>
                <w:szCs w:val="18"/>
              </w:rPr>
              <w:t>0.6</w:t>
            </w:r>
          </w:p>
        </w:tc>
        <w:tc>
          <w:tcPr>
            <w:tcW w:w="935" w:type="dxa"/>
            <w:shd w:val="clear" w:color="auto" w:fill="FFFFFF" w:themeFill="background1"/>
            <w:vAlign w:val="center"/>
          </w:tcPr>
          <w:p w:rsidR="00131718" w:rsidRPr="00720079" w:rsidRDefault="00131718" w:rsidP="00A43F47">
            <w:pPr>
              <w:jc w:val="center"/>
              <w:rPr>
                <w:sz w:val="18"/>
                <w:szCs w:val="18"/>
              </w:rPr>
            </w:pPr>
            <w:r>
              <w:rPr>
                <w:sz w:val="18"/>
                <w:szCs w:val="18"/>
              </w:rPr>
              <w:t>0.</w:t>
            </w:r>
            <w:r w:rsidRPr="00720079">
              <w:rPr>
                <w:sz w:val="18"/>
                <w:szCs w:val="18"/>
              </w:rPr>
              <w:t>5</w:t>
            </w:r>
          </w:p>
        </w:tc>
        <w:tc>
          <w:tcPr>
            <w:tcW w:w="935" w:type="dxa"/>
            <w:shd w:val="clear" w:color="auto" w:fill="FFFFFF" w:themeFill="background1"/>
            <w:vAlign w:val="center"/>
          </w:tcPr>
          <w:p w:rsidR="00131718" w:rsidRPr="00720079" w:rsidRDefault="00131718" w:rsidP="00A43F47">
            <w:pPr>
              <w:jc w:val="center"/>
              <w:rPr>
                <w:sz w:val="18"/>
                <w:szCs w:val="18"/>
              </w:rPr>
            </w:pPr>
            <w:r>
              <w:rPr>
                <w:sz w:val="18"/>
                <w:szCs w:val="18"/>
              </w:rPr>
              <w:t>0.4</w:t>
            </w:r>
          </w:p>
        </w:tc>
        <w:tc>
          <w:tcPr>
            <w:tcW w:w="936" w:type="dxa"/>
            <w:shd w:val="clear" w:color="auto" w:fill="FFFFFF" w:themeFill="background1"/>
            <w:vAlign w:val="center"/>
          </w:tcPr>
          <w:p w:rsidR="00131718" w:rsidRPr="00720079" w:rsidRDefault="00131718" w:rsidP="00A43F47">
            <w:pPr>
              <w:jc w:val="center"/>
              <w:rPr>
                <w:sz w:val="18"/>
                <w:szCs w:val="18"/>
              </w:rPr>
            </w:pPr>
            <w:r>
              <w:rPr>
                <w:sz w:val="18"/>
                <w:szCs w:val="18"/>
              </w:rPr>
              <w:t>0.3</w:t>
            </w:r>
          </w:p>
        </w:tc>
      </w:tr>
      <w:tr w:rsidR="00131718" w:rsidTr="00A43F47">
        <w:trPr>
          <w:trHeight w:val="294"/>
        </w:trPr>
        <w:tc>
          <w:tcPr>
            <w:tcW w:w="2689" w:type="dxa"/>
            <w:gridSpan w:val="2"/>
            <w:vMerge/>
            <w:shd w:val="clear" w:color="auto" w:fill="D9D9D9" w:themeFill="background1" w:themeFillShade="D9"/>
            <w:vAlign w:val="center"/>
          </w:tcPr>
          <w:p w:rsidR="00131718" w:rsidRDefault="00131718" w:rsidP="00A43F47">
            <w:pPr>
              <w:jc w:val="center"/>
              <w:rPr>
                <w:sz w:val="18"/>
                <w:szCs w:val="18"/>
              </w:rPr>
            </w:pPr>
          </w:p>
        </w:tc>
        <w:tc>
          <w:tcPr>
            <w:tcW w:w="6373" w:type="dxa"/>
            <w:gridSpan w:val="7"/>
            <w:shd w:val="clear" w:color="auto" w:fill="D9D9D9" w:themeFill="background1" w:themeFillShade="D9"/>
            <w:vAlign w:val="center"/>
          </w:tcPr>
          <w:p w:rsidR="00131718" w:rsidRDefault="00131718" w:rsidP="00A43F47">
            <w:pPr>
              <w:jc w:val="center"/>
              <w:rPr>
                <w:sz w:val="18"/>
                <w:szCs w:val="18"/>
              </w:rPr>
            </w:pPr>
            <w:r w:rsidRPr="00AC20A8">
              <w:rPr>
                <w:b/>
                <w:sz w:val="18"/>
                <w:szCs w:val="18"/>
              </w:rPr>
              <w:t>Titres obtenus</w:t>
            </w:r>
            <w:r>
              <w:rPr>
                <w:sz w:val="18"/>
                <w:szCs w:val="18"/>
              </w:rPr>
              <w:t xml:space="preserve"> (UB/mL)</w:t>
            </w:r>
          </w:p>
        </w:tc>
      </w:tr>
      <w:tr w:rsidR="00131718" w:rsidTr="00A43F47">
        <w:trPr>
          <w:trHeight w:val="294"/>
        </w:trPr>
        <w:tc>
          <w:tcPr>
            <w:tcW w:w="1271" w:type="dxa"/>
            <w:vMerge w:val="restart"/>
            <w:shd w:val="clear" w:color="auto" w:fill="D9D9D9" w:themeFill="background1" w:themeFillShade="D9"/>
            <w:vAlign w:val="center"/>
          </w:tcPr>
          <w:p w:rsidR="00131718" w:rsidRPr="00D14E2D" w:rsidRDefault="00131718" w:rsidP="00A43F47">
            <w:pPr>
              <w:jc w:val="center"/>
              <w:rPr>
                <w:b/>
                <w:sz w:val="18"/>
                <w:szCs w:val="18"/>
              </w:rPr>
            </w:pPr>
            <w:r>
              <w:rPr>
                <w:b/>
                <w:sz w:val="18"/>
                <w:szCs w:val="18"/>
              </w:rPr>
              <w:t xml:space="preserve">Contrôle anti-VIII </w:t>
            </w:r>
            <w:r w:rsidRPr="00D14E2D">
              <w:rPr>
                <w:b/>
                <w:sz w:val="18"/>
                <w:szCs w:val="18"/>
              </w:rPr>
              <w:t xml:space="preserve">Cryopep® </w:t>
            </w:r>
            <w:r>
              <w:rPr>
                <w:b/>
                <w:sz w:val="18"/>
                <w:szCs w:val="18"/>
              </w:rPr>
              <w:t>dilué en</w:t>
            </w:r>
            <w:r w:rsidRPr="00D14E2D">
              <w:rPr>
                <w:b/>
                <w:sz w:val="18"/>
                <w:szCs w:val="18"/>
              </w:rPr>
              <w:t xml:space="preserve"> Immunodef</w:t>
            </w:r>
          </w:p>
        </w:tc>
        <w:tc>
          <w:tcPr>
            <w:tcW w:w="1418" w:type="dxa"/>
            <w:shd w:val="clear" w:color="auto" w:fill="F2F2F2" w:themeFill="background1" w:themeFillShade="F2"/>
            <w:vAlign w:val="center"/>
          </w:tcPr>
          <w:p w:rsidR="00131718" w:rsidRDefault="00131718" w:rsidP="00A43F47">
            <w:pPr>
              <w:jc w:val="center"/>
              <w:rPr>
                <w:sz w:val="18"/>
                <w:szCs w:val="18"/>
              </w:rPr>
            </w:pPr>
            <w:r>
              <w:rPr>
                <w:sz w:val="18"/>
                <w:szCs w:val="18"/>
              </w:rPr>
              <w:t>Titrage</w:t>
            </w:r>
          </w:p>
          <w:p w:rsidR="00131718" w:rsidRPr="00720079" w:rsidRDefault="00131718" w:rsidP="00A43F47">
            <w:pPr>
              <w:jc w:val="center"/>
              <w:rPr>
                <w:sz w:val="18"/>
                <w:szCs w:val="18"/>
              </w:rPr>
            </w:pPr>
            <w:r>
              <w:rPr>
                <w:sz w:val="18"/>
                <w:szCs w:val="18"/>
              </w:rPr>
              <w:t>chronométrique</w:t>
            </w:r>
          </w:p>
        </w:tc>
        <w:tc>
          <w:tcPr>
            <w:tcW w:w="850" w:type="dxa"/>
            <w:vAlign w:val="center"/>
          </w:tcPr>
          <w:p w:rsidR="00131718" w:rsidRPr="00720079" w:rsidRDefault="00131718" w:rsidP="00A43F47">
            <w:pPr>
              <w:jc w:val="center"/>
              <w:rPr>
                <w:sz w:val="18"/>
                <w:szCs w:val="18"/>
              </w:rPr>
            </w:pPr>
          </w:p>
        </w:tc>
        <w:tc>
          <w:tcPr>
            <w:tcW w:w="851" w:type="dxa"/>
            <w:vAlign w:val="center"/>
          </w:tcPr>
          <w:p w:rsidR="00131718" w:rsidRPr="00720079" w:rsidRDefault="00131718" w:rsidP="00A43F47">
            <w:pPr>
              <w:jc w:val="center"/>
              <w:rPr>
                <w:sz w:val="18"/>
                <w:szCs w:val="18"/>
              </w:rPr>
            </w:pPr>
          </w:p>
        </w:tc>
        <w:tc>
          <w:tcPr>
            <w:tcW w:w="992" w:type="dxa"/>
            <w:shd w:val="clear" w:color="auto" w:fill="F37171"/>
            <w:vAlign w:val="center"/>
          </w:tcPr>
          <w:p w:rsidR="00131718" w:rsidRPr="00720079" w:rsidRDefault="00131718" w:rsidP="00A43F47">
            <w:pPr>
              <w:jc w:val="center"/>
              <w:rPr>
                <w:sz w:val="18"/>
                <w:szCs w:val="18"/>
              </w:rPr>
            </w:pPr>
            <w:r>
              <w:rPr>
                <w:sz w:val="18"/>
                <w:szCs w:val="18"/>
              </w:rPr>
              <w:t>0.4</w:t>
            </w:r>
          </w:p>
        </w:tc>
        <w:tc>
          <w:tcPr>
            <w:tcW w:w="874"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5"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5"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6" w:type="dxa"/>
            <w:shd w:val="clear" w:color="auto" w:fill="F37171"/>
            <w:vAlign w:val="center"/>
          </w:tcPr>
          <w:p w:rsidR="00131718" w:rsidRPr="00720079" w:rsidRDefault="00131718" w:rsidP="00A43F47">
            <w:pPr>
              <w:jc w:val="center"/>
              <w:rPr>
                <w:sz w:val="18"/>
                <w:szCs w:val="18"/>
              </w:rPr>
            </w:pPr>
            <w:r>
              <w:rPr>
                <w:sz w:val="18"/>
                <w:szCs w:val="18"/>
              </w:rPr>
              <w:t>&lt; 0.4</w:t>
            </w:r>
          </w:p>
        </w:tc>
      </w:tr>
      <w:tr w:rsidR="00131718" w:rsidTr="00A43F47">
        <w:trPr>
          <w:trHeight w:val="547"/>
        </w:trPr>
        <w:tc>
          <w:tcPr>
            <w:tcW w:w="1271" w:type="dxa"/>
            <w:vMerge/>
            <w:shd w:val="clear" w:color="auto" w:fill="D9D9D9" w:themeFill="background1" w:themeFillShade="D9"/>
            <w:vAlign w:val="center"/>
          </w:tcPr>
          <w:p w:rsidR="00131718" w:rsidRPr="00D14E2D" w:rsidRDefault="00131718" w:rsidP="00A43F47">
            <w:pPr>
              <w:jc w:val="center"/>
              <w:rPr>
                <w:b/>
                <w:sz w:val="18"/>
                <w:szCs w:val="18"/>
              </w:rPr>
            </w:pPr>
          </w:p>
        </w:tc>
        <w:tc>
          <w:tcPr>
            <w:tcW w:w="1418" w:type="dxa"/>
            <w:shd w:val="clear" w:color="auto" w:fill="F2F2F2" w:themeFill="background1" w:themeFillShade="F2"/>
            <w:vAlign w:val="center"/>
          </w:tcPr>
          <w:p w:rsidR="00131718" w:rsidRDefault="00131718" w:rsidP="00A43F47">
            <w:pPr>
              <w:jc w:val="center"/>
              <w:rPr>
                <w:sz w:val="18"/>
                <w:szCs w:val="18"/>
              </w:rPr>
            </w:pPr>
            <w:r>
              <w:rPr>
                <w:sz w:val="18"/>
                <w:szCs w:val="18"/>
              </w:rPr>
              <w:t>Titrage</w:t>
            </w:r>
          </w:p>
          <w:p w:rsidR="00131718" w:rsidRPr="00720079" w:rsidRDefault="00131718" w:rsidP="00A43F47">
            <w:pPr>
              <w:jc w:val="center"/>
              <w:rPr>
                <w:sz w:val="18"/>
                <w:szCs w:val="18"/>
              </w:rPr>
            </w:pPr>
            <w:r>
              <w:rPr>
                <w:sz w:val="18"/>
                <w:szCs w:val="18"/>
              </w:rPr>
              <w:t>chromogénique</w:t>
            </w:r>
            <w:r w:rsidDel="007C64DB">
              <w:rPr>
                <w:sz w:val="18"/>
                <w:szCs w:val="18"/>
              </w:rPr>
              <w:t xml:space="preserve"> </w:t>
            </w:r>
          </w:p>
        </w:tc>
        <w:tc>
          <w:tcPr>
            <w:tcW w:w="850" w:type="dxa"/>
            <w:vAlign w:val="center"/>
          </w:tcPr>
          <w:p w:rsidR="00131718" w:rsidRPr="00720079" w:rsidRDefault="00131718" w:rsidP="00A43F47">
            <w:pPr>
              <w:jc w:val="center"/>
              <w:rPr>
                <w:sz w:val="18"/>
                <w:szCs w:val="18"/>
              </w:rPr>
            </w:pPr>
          </w:p>
        </w:tc>
        <w:tc>
          <w:tcPr>
            <w:tcW w:w="851" w:type="dxa"/>
            <w:vAlign w:val="center"/>
          </w:tcPr>
          <w:p w:rsidR="00131718" w:rsidRPr="00720079" w:rsidRDefault="00131718" w:rsidP="00A43F47">
            <w:pPr>
              <w:jc w:val="center"/>
              <w:rPr>
                <w:sz w:val="18"/>
                <w:szCs w:val="18"/>
              </w:rPr>
            </w:pPr>
          </w:p>
        </w:tc>
        <w:tc>
          <w:tcPr>
            <w:tcW w:w="992" w:type="dxa"/>
            <w:shd w:val="clear" w:color="auto" w:fill="F37171"/>
            <w:vAlign w:val="center"/>
          </w:tcPr>
          <w:p w:rsidR="00131718" w:rsidRPr="00720079" w:rsidRDefault="00131718" w:rsidP="00A43F47">
            <w:pPr>
              <w:jc w:val="center"/>
              <w:rPr>
                <w:sz w:val="18"/>
                <w:szCs w:val="18"/>
              </w:rPr>
            </w:pPr>
            <w:r>
              <w:rPr>
                <w:sz w:val="18"/>
                <w:szCs w:val="18"/>
              </w:rPr>
              <w:t>&lt; 0.4</w:t>
            </w:r>
          </w:p>
        </w:tc>
        <w:tc>
          <w:tcPr>
            <w:tcW w:w="874"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5"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5" w:type="dxa"/>
            <w:shd w:val="clear" w:color="auto" w:fill="F37171"/>
            <w:vAlign w:val="center"/>
          </w:tcPr>
          <w:p w:rsidR="00131718" w:rsidRPr="00720079" w:rsidRDefault="00131718" w:rsidP="00A43F47">
            <w:pPr>
              <w:jc w:val="center"/>
              <w:rPr>
                <w:sz w:val="18"/>
                <w:szCs w:val="18"/>
              </w:rPr>
            </w:pPr>
            <w:r>
              <w:rPr>
                <w:sz w:val="18"/>
                <w:szCs w:val="18"/>
              </w:rPr>
              <w:t>&lt; 0.4</w:t>
            </w:r>
          </w:p>
        </w:tc>
        <w:tc>
          <w:tcPr>
            <w:tcW w:w="936" w:type="dxa"/>
            <w:shd w:val="clear" w:color="auto" w:fill="F37171"/>
            <w:vAlign w:val="center"/>
          </w:tcPr>
          <w:p w:rsidR="00131718" w:rsidRPr="00720079" w:rsidRDefault="00131718" w:rsidP="00A43F47">
            <w:pPr>
              <w:jc w:val="center"/>
              <w:rPr>
                <w:sz w:val="18"/>
                <w:szCs w:val="18"/>
              </w:rPr>
            </w:pPr>
            <w:r>
              <w:rPr>
                <w:sz w:val="18"/>
                <w:szCs w:val="18"/>
              </w:rPr>
              <w:t>&lt; 0.4</w:t>
            </w:r>
          </w:p>
        </w:tc>
      </w:tr>
      <w:tr w:rsidR="00131718" w:rsidTr="00A43F47">
        <w:trPr>
          <w:trHeight w:val="937"/>
        </w:trPr>
        <w:tc>
          <w:tcPr>
            <w:tcW w:w="1271" w:type="dxa"/>
            <w:shd w:val="clear" w:color="auto" w:fill="D9D9D9" w:themeFill="background1" w:themeFillShade="D9"/>
            <w:vAlign w:val="center"/>
          </w:tcPr>
          <w:p w:rsidR="00131718" w:rsidRPr="00D14E2D" w:rsidRDefault="00131718" w:rsidP="00A43F47">
            <w:pPr>
              <w:jc w:val="center"/>
              <w:rPr>
                <w:b/>
                <w:sz w:val="18"/>
                <w:szCs w:val="18"/>
              </w:rPr>
            </w:pPr>
            <w:r>
              <w:rPr>
                <w:b/>
                <w:sz w:val="18"/>
                <w:szCs w:val="18"/>
              </w:rPr>
              <w:t xml:space="preserve">Contrôle anti-VIII </w:t>
            </w:r>
            <w:r w:rsidRPr="00D14E2D">
              <w:rPr>
                <w:b/>
                <w:sz w:val="18"/>
                <w:szCs w:val="18"/>
              </w:rPr>
              <w:t xml:space="preserve">Cryopep® </w:t>
            </w:r>
            <w:r>
              <w:rPr>
                <w:b/>
                <w:sz w:val="18"/>
                <w:szCs w:val="18"/>
              </w:rPr>
              <w:t xml:space="preserve">dilué en </w:t>
            </w:r>
            <w:r w:rsidRPr="00D14E2D">
              <w:rPr>
                <w:b/>
                <w:sz w:val="18"/>
                <w:szCs w:val="18"/>
              </w:rPr>
              <w:t>Immunodef</w:t>
            </w:r>
          </w:p>
        </w:tc>
        <w:tc>
          <w:tcPr>
            <w:tcW w:w="1418" w:type="dxa"/>
            <w:vMerge w:val="restart"/>
            <w:shd w:val="clear" w:color="auto" w:fill="F2F2F2" w:themeFill="background1" w:themeFillShade="F2"/>
            <w:vAlign w:val="center"/>
          </w:tcPr>
          <w:p w:rsidR="00131718" w:rsidRDefault="00131718" w:rsidP="00A43F47">
            <w:pPr>
              <w:jc w:val="center"/>
              <w:rPr>
                <w:sz w:val="18"/>
                <w:szCs w:val="18"/>
              </w:rPr>
            </w:pPr>
            <w:r>
              <w:rPr>
                <w:sz w:val="18"/>
                <w:szCs w:val="18"/>
              </w:rPr>
              <w:t>Titrage</w:t>
            </w:r>
          </w:p>
          <w:p w:rsidR="00131718" w:rsidRPr="00720079" w:rsidRDefault="00131718" w:rsidP="00A43F47">
            <w:pPr>
              <w:jc w:val="center"/>
              <w:rPr>
                <w:sz w:val="18"/>
                <w:szCs w:val="18"/>
              </w:rPr>
            </w:pPr>
            <w:r>
              <w:rPr>
                <w:sz w:val="18"/>
                <w:szCs w:val="18"/>
              </w:rPr>
              <w:t>chronométrique</w:t>
            </w:r>
          </w:p>
        </w:tc>
        <w:tc>
          <w:tcPr>
            <w:tcW w:w="850" w:type="dxa"/>
            <w:shd w:val="clear" w:color="auto" w:fill="F37171"/>
            <w:vAlign w:val="center"/>
          </w:tcPr>
          <w:p w:rsidR="00131718" w:rsidRPr="00720079" w:rsidRDefault="00131718" w:rsidP="00A43F47">
            <w:pPr>
              <w:jc w:val="center"/>
              <w:rPr>
                <w:sz w:val="18"/>
                <w:szCs w:val="18"/>
              </w:rPr>
            </w:pPr>
            <w:r>
              <w:rPr>
                <w:sz w:val="18"/>
                <w:szCs w:val="18"/>
              </w:rPr>
              <w:t>3.1</w:t>
            </w:r>
          </w:p>
        </w:tc>
        <w:tc>
          <w:tcPr>
            <w:tcW w:w="851" w:type="dxa"/>
            <w:vAlign w:val="center"/>
          </w:tcPr>
          <w:p w:rsidR="00131718" w:rsidRPr="00720079" w:rsidRDefault="00131718" w:rsidP="00A43F47">
            <w:pPr>
              <w:jc w:val="center"/>
              <w:rPr>
                <w:sz w:val="18"/>
                <w:szCs w:val="18"/>
              </w:rPr>
            </w:pPr>
          </w:p>
        </w:tc>
        <w:tc>
          <w:tcPr>
            <w:tcW w:w="992" w:type="dxa"/>
            <w:shd w:val="clear" w:color="auto" w:fill="F37171"/>
            <w:vAlign w:val="center"/>
          </w:tcPr>
          <w:p w:rsidR="00131718" w:rsidRPr="00720079" w:rsidRDefault="00131718" w:rsidP="00A43F47">
            <w:pPr>
              <w:jc w:val="center"/>
              <w:rPr>
                <w:sz w:val="18"/>
                <w:szCs w:val="18"/>
              </w:rPr>
            </w:pPr>
            <w:r>
              <w:rPr>
                <w:sz w:val="18"/>
                <w:szCs w:val="18"/>
              </w:rPr>
              <w:t>&lt; 0.4</w:t>
            </w:r>
          </w:p>
        </w:tc>
        <w:tc>
          <w:tcPr>
            <w:tcW w:w="874"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6" w:type="dxa"/>
            <w:vAlign w:val="center"/>
          </w:tcPr>
          <w:p w:rsidR="00131718" w:rsidRPr="00720079" w:rsidRDefault="00131718" w:rsidP="00A43F47">
            <w:pPr>
              <w:jc w:val="center"/>
              <w:rPr>
                <w:sz w:val="18"/>
                <w:szCs w:val="18"/>
              </w:rPr>
            </w:pPr>
          </w:p>
        </w:tc>
      </w:tr>
      <w:tr w:rsidR="00131718" w:rsidTr="00A43F47">
        <w:trPr>
          <w:trHeight w:val="1034"/>
        </w:trPr>
        <w:tc>
          <w:tcPr>
            <w:tcW w:w="1271" w:type="dxa"/>
            <w:shd w:val="clear" w:color="auto" w:fill="D9D9D9" w:themeFill="background1" w:themeFillShade="D9"/>
            <w:vAlign w:val="center"/>
          </w:tcPr>
          <w:p w:rsidR="00131718" w:rsidRPr="00D14E2D" w:rsidRDefault="00131718" w:rsidP="00A43F47">
            <w:pPr>
              <w:jc w:val="center"/>
              <w:rPr>
                <w:b/>
                <w:sz w:val="18"/>
                <w:szCs w:val="18"/>
              </w:rPr>
            </w:pPr>
            <w:r>
              <w:rPr>
                <w:b/>
                <w:sz w:val="18"/>
                <w:szCs w:val="18"/>
              </w:rPr>
              <w:t xml:space="preserve">Contrôle anti-VIII </w:t>
            </w:r>
            <w:r w:rsidRPr="00D14E2D">
              <w:rPr>
                <w:b/>
                <w:sz w:val="18"/>
                <w:szCs w:val="18"/>
              </w:rPr>
              <w:t xml:space="preserve">Cryopep® </w:t>
            </w:r>
            <w:r>
              <w:rPr>
                <w:b/>
                <w:sz w:val="18"/>
                <w:szCs w:val="18"/>
              </w:rPr>
              <w:t>dilué en</w:t>
            </w:r>
            <w:r w:rsidRPr="00D14E2D">
              <w:rPr>
                <w:b/>
                <w:sz w:val="18"/>
                <w:szCs w:val="18"/>
              </w:rPr>
              <w:t xml:space="preserve"> Imidazole</w:t>
            </w:r>
          </w:p>
        </w:tc>
        <w:tc>
          <w:tcPr>
            <w:tcW w:w="1418" w:type="dxa"/>
            <w:vMerge/>
            <w:shd w:val="clear" w:color="auto" w:fill="F2F2F2" w:themeFill="background1" w:themeFillShade="F2"/>
          </w:tcPr>
          <w:p w:rsidR="00131718" w:rsidRPr="00720079" w:rsidRDefault="00131718" w:rsidP="00A43F47">
            <w:pPr>
              <w:rPr>
                <w:sz w:val="18"/>
                <w:szCs w:val="18"/>
              </w:rPr>
            </w:pPr>
          </w:p>
        </w:tc>
        <w:tc>
          <w:tcPr>
            <w:tcW w:w="850" w:type="dxa"/>
            <w:shd w:val="clear" w:color="auto" w:fill="FBD4B4" w:themeFill="accent6" w:themeFillTint="66"/>
            <w:vAlign w:val="center"/>
          </w:tcPr>
          <w:p w:rsidR="00131718" w:rsidRPr="00720079" w:rsidRDefault="00131718" w:rsidP="00A43F47">
            <w:pPr>
              <w:jc w:val="center"/>
              <w:rPr>
                <w:sz w:val="18"/>
                <w:szCs w:val="18"/>
              </w:rPr>
            </w:pPr>
            <w:r>
              <w:rPr>
                <w:sz w:val="18"/>
                <w:szCs w:val="18"/>
              </w:rPr>
              <w:t>4.17</w:t>
            </w:r>
          </w:p>
        </w:tc>
        <w:tc>
          <w:tcPr>
            <w:tcW w:w="851" w:type="dxa"/>
            <w:vAlign w:val="center"/>
          </w:tcPr>
          <w:p w:rsidR="00131718" w:rsidRPr="00720079" w:rsidRDefault="00131718" w:rsidP="00A43F47">
            <w:pPr>
              <w:jc w:val="center"/>
              <w:rPr>
                <w:sz w:val="18"/>
                <w:szCs w:val="18"/>
              </w:rPr>
            </w:pPr>
          </w:p>
        </w:tc>
        <w:tc>
          <w:tcPr>
            <w:tcW w:w="992" w:type="dxa"/>
            <w:shd w:val="clear" w:color="auto" w:fill="FBD4B4" w:themeFill="accent6" w:themeFillTint="66"/>
            <w:vAlign w:val="center"/>
          </w:tcPr>
          <w:p w:rsidR="00131718" w:rsidRPr="00720079" w:rsidRDefault="00131718" w:rsidP="00A43F47">
            <w:pPr>
              <w:jc w:val="center"/>
              <w:rPr>
                <w:sz w:val="18"/>
                <w:szCs w:val="18"/>
              </w:rPr>
            </w:pPr>
            <w:r>
              <w:rPr>
                <w:sz w:val="18"/>
                <w:szCs w:val="18"/>
              </w:rPr>
              <w:t>1.04</w:t>
            </w:r>
          </w:p>
        </w:tc>
        <w:tc>
          <w:tcPr>
            <w:tcW w:w="874"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6" w:type="dxa"/>
            <w:vAlign w:val="center"/>
          </w:tcPr>
          <w:p w:rsidR="00131718" w:rsidRPr="00720079" w:rsidRDefault="00131718" w:rsidP="00A43F47">
            <w:pPr>
              <w:jc w:val="center"/>
              <w:rPr>
                <w:sz w:val="18"/>
                <w:szCs w:val="18"/>
              </w:rPr>
            </w:pPr>
          </w:p>
        </w:tc>
      </w:tr>
      <w:tr w:rsidR="00131718" w:rsidTr="00A43F47">
        <w:trPr>
          <w:trHeight w:val="1005"/>
        </w:trPr>
        <w:tc>
          <w:tcPr>
            <w:tcW w:w="1271" w:type="dxa"/>
            <w:shd w:val="clear" w:color="auto" w:fill="D9D9D9" w:themeFill="background1" w:themeFillShade="D9"/>
            <w:vAlign w:val="center"/>
          </w:tcPr>
          <w:p w:rsidR="00131718" w:rsidRPr="00D14E2D" w:rsidRDefault="00131718" w:rsidP="00A43F47">
            <w:pPr>
              <w:jc w:val="center"/>
              <w:rPr>
                <w:b/>
                <w:sz w:val="18"/>
                <w:szCs w:val="18"/>
              </w:rPr>
            </w:pPr>
            <w:r w:rsidRPr="00D14E2D">
              <w:rPr>
                <w:b/>
                <w:sz w:val="18"/>
                <w:szCs w:val="18"/>
              </w:rPr>
              <w:t xml:space="preserve">Patient </w:t>
            </w:r>
            <w:r>
              <w:rPr>
                <w:b/>
                <w:sz w:val="18"/>
                <w:szCs w:val="18"/>
              </w:rPr>
              <w:t>avec anti-VIII dilué</w:t>
            </w:r>
            <w:r w:rsidRPr="00D14E2D">
              <w:rPr>
                <w:b/>
                <w:sz w:val="18"/>
                <w:szCs w:val="18"/>
              </w:rPr>
              <w:t xml:space="preserve"> </w:t>
            </w:r>
            <w:r>
              <w:rPr>
                <w:b/>
                <w:sz w:val="18"/>
                <w:szCs w:val="18"/>
              </w:rPr>
              <w:t xml:space="preserve">en </w:t>
            </w:r>
            <w:r w:rsidRPr="00D14E2D">
              <w:rPr>
                <w:b/>
                <w:sz w:val="18"/>
                <w:szCs w:val="18"/>
              </w:rPr>
              <w:t>Immunodef</w:t>
            </w:r>
          </w:p>
        </w:tc>
        <w:tc>
          <w:tcPr>
            <w:tcW w:w="1418" w:type="dxa"/>
            <w:vMerge/>
            <w:shd w:val="clear" w:color="auto" w:fill="F2F2F2" w:themeFill="background1" w:themeFillShade="F2"/>
          </w:tcPr>
          <w:p w:rsidR="00131718" w:rsidRPr="00720079" w:rsidRDefault="00131718" w:rsidP="00A43F47">
            <w:pPr>
              <w:rPr>
                <w:sz w:val="18"/>
                <w:szCs w:val="18"/>
              </w:rPr>
            </w:pPr>
          </w:p>
        </w:tc>
        <w:tc>
          <w:tcPr>
            <w:tcW w:w="850" w:type="dxa"/>
            <w:vAlign w:val="center"/>
          </w:tcPr>
          <w:p w:rsidR="00131718" w:rsidRPr="00720079" w:rsidRDefault="00131718" w:rsidP="00A43F47">
            <w:pPr>
              <w:jc w:val="center"/>
              <w:rPr>
                <w:sz w:val="18"/>
                <w:szCs w:val="18"/>
              </w:rPr>
            </w:pPr>
          </w:p>
        </w:tc>
        <w:tc>
          <w:tcPr>
            <w:tcW w:w="851" w:type="dxa"/>
            <w:shd w:val="clear" w:color="auto" w:fill="FBD4B4" w:themeFill="accent6" w:themeFillTint="66"/>
            <w:vAlign w:val="center"/>
          </w:tcPr>
          <w:p w:rsidR="00131718" w:rsidRPr="00720079" w:rsidRDefault="00131718" w:rsidP="00A43F47">
            <w:pPr>
              <w:jc w:val="center"/>
              <w:rPr>
                <w:sz w:val="18"/>
                <w:szCs w:val="18"/>
              </w:rPr>
            </w:pPr>
            <w:r>
              <w:rPr>
                <w:sz w:val="18"/>
                <w:szCs w:val="18"/>
              </w:rPr>
              <w:t>3.33</w:t>
            </w:r>
          </w:p>
        </w:tc>
        <w:tc>
          <w:tcPr>
            <w:tcW w:w="992" w:type="dxa"/>
            <w:shd w:val="clear" w:color="auto" w:fill="FBD4B4" w:themeFill="accent6" w:themeFillTint="66"/>
            <w:vAlign w:val="center"/>
          </w:tcPr>
          <w:p w:rsidR="00131718" w:rsidRPr="00720079" w:rsidRDefault="00131718" w:rsidP="00A43F47">
            <w:pPr>
              <w:jc w:val="center"/>
              <w:rPr>
                <w:sz w:val="18"/>
                <w:szCs w:val="18"/>
              </w:rPr>
            </w:pPr>
            <w:r>
              <w:rPr>
                <w:sz w:val="18"/>
                <w:szCs w:val="18"/>
              </w:rPr>
              <w:t>1.43</w:t>
            </w:r>
          </w:p>
        </w:tc>
        <w:tc>
          <w:tcPr>
            <w:tcW w:w="874"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6" w:type="dxa"/>
            <w:vAlign w:val="center"/>
          </w:tcPr>
          <w:p w:rsidR="00131718" w:rsidRPr="00720079" w:rsidRDefault="00131718" w:rsidP="00A43F47">
            <w:pPr>
              <w:jc w:val="center"/>
              <w:rPr>
                <w:sz w:val="18"/>
                <w:szCs w:val="18"/>
              </w:rPr>
            </w:pPr>
          </w:p>
        </w:tc>
      </w:tr>
      <w:tr w:rsidR="00131718" w:rsidTr="00A43F47">
        <w:trPr>
          <w:trHeight w:val="820"/>
        </w:trPr>
        <w:tc>
          <w:tcPr>
            <w:tcW w:w="1271" w:type="dxa"/>
            <w:shd w:val="clear" w:color="auto" w:fill="D9D9D9" w:themeFill="background1" w:themeFillShade="D9"/>
            <w:vAlign w:val="center"/>
          </w:tcPr>
          <w:p w:rsidR="00131718" w:rsidRPr="00D14E2D" w:rsidRDefault="00131718" w:rsidP="00A43F47">
            <w:pPr>
              <w:jc w:val="center"/>
              <w:rPr>
                <w:b/>
                <w:sz w:val="18"/>
                <w:szCs w:val="18"/>
              </w:rPr>
            </w:pPr>
            <w:r w:rsidRPr="00D14E2D">
              <w:rPr>
                <w:b/>
                <w:sz w:val="18"/>
                <w:szCs w:val="18"/>
              </w:rPr>
              <w:t xml:space="preserve">Patient </w:t>
            </w:r>
            <w:r>
              <w:rPr>
                <w:b/>
                <w:sz w:val="18"/>
                <w:szCs w:val="18"/>
              </w:rPr>
              <w:t>avec anti-VIII dilué</w:t>
            </w:r>
            <w:r w:rsidRPr="00D14E2D">
              <w:rPr>
                <w:b/>
                <w:sz w:val="18"/>
                <w:szCs w:val="18"/>
              </w:rPr>
              <w:t xml:space="preserve"> </w:t>
            </w:r>
            <w:r>
              <w:rPr>
                <w:b/>
                <w:sz w:val="18"/>
                <w:szCs w:val="18"/>
              </w:rPr>
              <w:t>en</w:t>
            </w:r>
            <w:r w:rsidRPr="00D14E2D">
              <w:rPr>
                <w:b/>
                <w:sz w:val="18"/>
                <w:szCs w:val="18"/>
              </w:rPr>
              <w:t xml:space="preserve"> Imidazole</w:t>
            </w:r>
          </w:p>
        </w:tc>
        <w:tc>
          <w:tcPr>
            <w:tcW w:w="1418" w:type="dxa"/>
            <w:vMerge/>
            <w:shd w:val="clear" w:color="auto" w:fill="F2F2F2" w:themeFill="background1" w:themeFillShade="F2"/>
          </w:tcPr>
          <w:p w:rsidR="00131718" w:rsidRPr="00720079" w:rsidRDefault="00131718" w:rsidP="00A43F47">
            <w:pPr>
              <w:rPr>
                <w:sz w:val="18"/>
                <w:szCs w:val="18"/>
              </w:rPr>
            </w:pPr>
          </w:p>
        </w:tc>
        <w:tc>
          <w:tcPr>
            <w:tcW w:w="850" w:type="dxa"/>
            <w:vAlign w:val="center"/>
          </w:tcPr>
          <w:p w:rsidR="00131718" w:rsidRPr="00720079" w:rsidRDefault="00131718" w:rsidP="00A43F47">
            <w:pPr>
              <w:jc w:val="center"/>
              <w:rPr>
                <w:sz w:val="18"/>
                <w:szCs w:val="18"/>
              </w:rPr>
            </w:pPr>
          </w:p>
        </w:tc>
        <w:tc>
          <w:tcPr>
            <w:tcW w:w="851" w:type="dxa"/>
            <w:shd w:val="clear" w:color="auto" w:fill="FBD4B4" w:themeFill="accent6" w:themeFillTint="66"/>
            <w:vAlign w:val="center"/>
          </w:tcPr>
          <w:p w:rsidR="00131718" w:rsidRPr="00720079" w:rsidRDefault="00131718" w:rsidP="00A43F47">
            <w:pPr>
              <w:jc w:val="center"/>
              <w:rPr>
                <w:sz w:val="18"/>
                <w:szCs w:val="18"/>
              </w:rPr>
            </w:pPr>
            <w:r>
              <w:rPr>
                <w:sz w:val="18"/>
                <w:szCs w:val="18"/>
              </w:rPr>
              <w:t>3.33</w:t>
            </w:r>
          </w:p>
        </w:tc>
        <w:tc>
          <w:tcPr>
            <w:tcW w:w="992" w:type="dxa"/>
            <w:shd w:val="clear" w:color="auto" w:fill="FBD4B4" w:themeFill="accent6" w:themeFillTint="66"/>
            <w:vAlign w:val="center"/>
          </w:tcPr>
          <w:p w:rsidR="00131718" w:rsidRPr="00720079" w:rsidRDefault="00131718" w:rsidP="00A43F47">
            <w:pPr>
              <w:jc w:val="center"/>
              <w:rPr>
                <w:sz w:val="18"/>
                <w:szCs w:val="18"/>
              </w:rPr>
            </w:pPr>
            <w:r>
              <w:rPr>
                <w:sz w:val="18"/>
                <w:szCs w:val="18"/>
              </w:rPr>
              <w:t>1.19</w:t>
            </w:r>
          </w:p>
        </w:tc>
        <w:tc>
          <w:tcPr>
            <w:tcW w:w="874"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5" w:type="dxa"/>
            <w:vAlign w:val="center"/>
          </w:tcPr>
          <w:p w:rsidR="00131718" w:rsidRPr="00720079" w:rsidRDefault="00131718" w:rsidP="00A43F47">
            <w:pPr>
              <w:jc w:val="center"/>
              <w:rPr>
                <w:sz w:val="18"/>
                <w:szCs w:val="18"/>
              </w:rPr>
            </w:pPr>
          </w:p>
        </w:tc>
        <w:tc>
          <w:tcPr>
            <w:tcW w:w="936" w:type="dxa"/>
            <w:vAlign w:val="center"/>
          </w:tcPr>
          <w:p w:rsidR="00131718" w:rsidRPr="00720079" w:rsidRDefault="00131718" w:rsidP="00A43F47">
            <w:pPr>
              <w:jc w:val="center"/>
              <w:rPr>
                <w:sz w:val="18"/>
                <w:szCs w:val="18"/>
              </w:rPr>
            </w:pPr>
          </w:p>
        </w:tc>
      </w:tr>
    </w:tbl>
    <w:p w:rsidR="00131718" w:rsidRDefault="00131718" w:rsidP="00131718">
      <w:pPr>
        <w:jc w:val="both"/>
        <w:rPr>
          <w:rFonts w:ascii="Arial" w:hAnsi="Arial" w:cs="Arial"/>
        </w:rPr>
      </w:pPr>
    </w:p>
    <w:p w:rsidR="00131718" w:rsidRPr="00131718" w:rsidRDefault="00131718" w:rsidP="00131718">
      <w:pPr>
        <w:jc w:val="both"/>
        <w:rPr>
          <w:rFonts w:ascii="Arial" w:hAnsi="Arial" w:cs="Arial"/>
        </w:rPr>
      </w:pPr>
      <w:r w:rsidRPr="00131718">
        <w:rPr>
          <w:rFonts w:ascii="Arial" w:hAnsi="Arial" w:cs="Arial"/>
        </w:rPr>
        <w:t>Il semble donc exister une interaction entre le contrôle Cryopep® et un composant de l’ImmunoDef (Siemens®).</w:t>
      </w:r>
    </w:p>
    <w:p w:rsidR="00131718" w:rsidRPr="00131718" w:rsidRDefault="00131718" w:rsidP="00131718">
      <w:pPr>
        <w:jc w:val="both"/>
        <w:rPr>
          <w:rFonts w:ascii="Arial" w:hAnsi="Arial" w:cs="Arial"/>
        </w:rPr>
      </w:pPr>
      <w:r w:rsidRPr="00131718">
        <w:rPr>
          <w:rFonts w:ascii="Arial" w:hAnsi="Arial" w:cs="Arial"/>
        </w:rPr>
        <w:t xml:space="preserve"> Après concertation, de nouveaux tests sont prévus :</w:t>
      </w:r>
    </w:p>
    <w:p w:rsidR="00131718" w:rsidRPr="00131718" w:rsidRDefault="00131718" w:rsidP="00131718">
      <w:pPr>
        <w:pStyle w:val="Paragraphedeliste"/>
        <w:numPr>
          <w:ilvl w:val="0"/>
          <w:numId w:val="21"/>
        </w:numPr>
        <w:spacing w:after="160" w:line="259" w:lineRule="auto"/>
        <w:contextualSpacing/>
        <w:jc w:val="both"/>
        <w:rPr>
          <w:rFonts w:ascii="Arial" w:hAnsi="Arial" w:cs="Arial"/>
        </w:rPr>
      </w:pPr>
      <w:r w:rsidRPr="00131718">
        <w:rPr>
          <w:rFonts w:ascii="Arial" w:hAnsi="Arial" w:cs="Arial"/>
        </w:rPr>
        <w:t>Tester un autre lot de contrôle anti-VIII Cryopep®.</w:t>
      </w:r>
    </w:p>
    <w:p w:rsidR="00131718" w:rsidRPr="00131718" w:rsidRDefault="00131718" w:rsidP="00131718">
      <w:pPr>
        <w:pStyle w:val="Paragraphedeliste"/>
        <w:numPr>
          <w:ilvl w:val="0"/>
          <w:numId w:val="21"/>
        </w:numPr>
        <w:spacing w:after="160" w:line="259" w:lineRule="auto"/>
        <w:contextualSpacing/>
        <w:jc w:val="both"/>
        <w:rPr>
          <w:rFonts w:ascii="Arial" w:hAnsi="Arial" w:cs="Arial"/>
        </w:rPr>
      </w:pPr>
      <w:r w:rsidRPr="00131718">
        <w:rPr>
          <w:rFonts w:ascii="Arial" w:hAnsi="Arial" w:cs="Arial"/>
        </w:rPr>
        <w:t>Tester un autre déficient en FVIII.</w:t>
      </w:r>
    </w:p>
    <w:p w:rsidR="00131718" w:rsidRPr="00131718" w:rsidRDefault="00131718" w:rsidP="00131718">
      <w:pPr>
        <w:pStyle w:val="Paragraphedeliste"/>
        <w:numPr>
          <w:ilvl w:val="0"/>
          <w:numId w:val="21"/>
        </w:numPr>
        <w:spacing w:after="160" w:line="259" w:lineRule="auto"/>
        <w:contextualSpacing/>
        <w:jc w:val="both"/>
        <w:rPr>
          <w:rFonts w:ascii="Arial" w:hAnsi="Arial" w:cs="Arial"/>
        </w:rPr>
      </w:pPr>
      <w:r w:rsidRPr="00131718">
        <w:rPr>
          <w:rFonts w:ascii="Arial" w:hAnsi="Arial" w:cs="Arial"/>
        </w:rPr>
        <w:t>Tester après chauffage : le Cryopep® seul, l’ImmunoDef seul et le mélange des deux.</w:t>
      </w:r>
    </w:p>
    <w:p w:rsidR="00131718" w:rsidRPr="00131718" w:rsidRDefault="00131718" w:rsidP="00131718">
      <w:pPr>
        <w:pStyle w:val="Paragraphedeliste"/>
        <w:jc w:val="both"/>
        <w:rPr>
          <w:rFonts w:ascii="Arial" w:hAnsi="Arial" w:cs="Arial"/>
          <w:sz w:val="10"/>
        </w:rPr>
      </w:pPr>
    </w:p>
    <w:p w:rsidR="00131718" w:rsidRPr="00131718" w:rsidRDefault="00131718" w:rsidP="00131718">
      <w:pPr>
        <w:jc w:val="both"/>
        <w:rPr>
          <w:rFonts w:ascii="Arial" w:hAnsi="Arial" w:cs="Arial"/>
        </w:rPr>
      </w:pPr>
      <w:r w:rsidRPr="00131718">
        <w:rPr>
          <w:rFonts w:ascii="Arial" w:hAnsi="Arial" w:cs="Arial"/>
        </w:rPr>
        <w:t>Si les différents tests n’aboutissent pas, il sera prévu de diluer en tampon imidazole. Les centres participants seront tenus informés par mail du nouveau protocole, des date</w:t>
      </w:r>
      <w:r>
        <w:rPr>
          <w:rFonts w:ascii="Arial" w:hAnsi="Arial" w:cs="Arial"/>
        </w:rPr>
        <w:t>s</w:t>
      </w:r>
      <w:r w:rsidRPr="00131718">
        <w:rPr>
          <w:rFonts w:ascii="Arial" w:hAnsi="Arial" w:cs="Arial"/>
        </w:rPr>
        <w:t xml:space="preserve"> prévues de préparation et d’envoi des échantillons.</w:t>
      </w:r>
    </w:p>
    <w:p w:rsidR="00131718" w:rsidRDefault="00131718" w:rsidP="00131718">
      <w:pPr>
        <w:pStyle w:val="Paragraphedeliste"/>
        <w:spacing w:after="160" w:line="259" w:lineRule="auto"/>
        <w:ind w:left="360"/>
        <w:contextualSpacing/>
        <w:jc w:val="both"/>
        <w:rPr>
          <w:rFonts w:ascii="Arial" w:hAnsi="Arial" w:cs="Arial"/>
          <w:color w:val="0000FF"/>
        </w:rPr>
      </w:pPr>
    </w:p>
    <w:p w:rsidR="00457ED1" w:rsidRPr="00AF1170" w:rsidRDefault="00457ED1" w:rsidP="00131718">
      <w:pPr>
        <w:pStyle w:val="Paragraphedeliste"/>
        <w:spacing w:after="160" w:line="259" w:lineRule="auto"/>
        <w:ind w:left="360"/>
        <w:contextualSpacing/>
        <w:jc w:val="both"/>
        <w:rPr>
          <w:rFonts w:ascii="Arial" w:hAnsi="Arial" w:cs="Arial"/>
          <w:color w:val="0000FF"/>
        </w:rPr>
      </w:pPr>
    </w:p>
    <w:p w:rsidR="00736916" w:rsidRPr="00736916" w:rsidRDefault="00AF1170" w:rsidP="00736916">
      <w:pPr>
        <w:pStyle w:val="Paragraphedeliste"/>
        <w:numPr>
          <w:ilvl w:val="1"/>
          <w:numId w:val="23"/>
        </w:numPr>
        <w:spacing w:after="160" w:line="259" w:lineRule="auto"/>
        <w:contextualSpacing/>
        <w:jc w:val="both"/>
        <w:rPr>
          <w:rFonts w:ascii="Arial" w:hAnsi="Arial" w:cs="Arial"/>
          <w:color w:val="0000FF"/>
        </w:rPr>
      </w:pPr>
      <w:r w:rsidRPr="00BB7FD0">
        <w:rPr>
          <w:rFonts w:ascii="Arial" w:hAnsi="Arial" w:cs="Arial"/>
          <w:b/>
          <w:color w:val="000000"/>
          <w:shd w:val="clear" w:color="auto" w:fill="FFFFFF"/>
        </w:rPr>
        <w:t>Retour CIL liaison VWF:VIII</w:t>
      </w:r>
      <w:r w:rsidRPr="00D602A9">
        <w:rPr>
          <w:rFonts w:ascii="Arial" w:hAnsi="Arial" w:cs="Arial"/>
          <w:color w:val="000000"/>
          <w:shd w:val="clear" w:color="auto" w:fill="FFFFFF"/>
        </w:rPr>
        <w:t xml:space="preserve"> </w:t>
      </w:r>
      <w:r w:rsidRPr="00D602A9">
        <w:rPr>
          <w:rFonts w:ascii="Arial" w:hAnsi="Arial" w:cs="Arial"/>
          <w:color w:val="0000FF"/>
          <w:shd w:val="clear" w:color="auto" w:fill="FFFFFF"/>
        </w:rPr>
        <w:t>: E.Jeanpierre</w:t>
      </w:r>
    </w:p>
    <w:p w:rsidR="00906321" w:rsidRPr="00906321" w:rsidRDefault="00906321" w:rsidP="00906321">
      <w:pPr>
        <w:rPr>
          <w:rFonts w:ascii="Arial" w:hAnsi="Arial" w:cs="Arial"/>
          <w:szCs w:val="28"/>
          <w:u w:val="single"/>
        </w:rPr>
      </w:pPr>
      <w:r w:rsidRPr="00906321">
        <w:rPr>
          <w:rFonts w:ascii="Arial" w:hAnsi="Arial" w:cs="Arial"/>
          <w:szCs w:val="28"/>
          <w:u w:val="single"/>
        </w:rPr>
        <w:t>Organisation d</w:t>
      </w:r>
      <w:r w:rsidR="005277C8">
        <w:rPr>
          <w:rFonts w:ascii="Arial" w:hAnsi="Arial" w:cs="Arial"/>
          <w:szCs w:val="28"/>
          <w:u w:val="single"/>
        </w:rPr>
        <w:t>u</w:t>
      </w:r>
      <w:r w:rsidRPr="00906321">
        <w:rPr>
          <w:rFonts w:ascii="Arial" w:hAnsi="Arial" w:cs="Arial"/>
          <w:szCs w:val="28"/>
          <w:u w:val="single"/>
        </w:rPr>
        <w:t xml:space="preserve"> CIL</w:t>
      </w:r>
    </w:p>
    <w:p w:rsidR="00906321" w:rsidRPr="00906321" w:rsidRDefault="00906321" w:rsidP="005277C8">
      <w:pPr>
        <w:jc w:val="both"/>
        <w:rPr>
          <w:rFonts w:ascii="Arial" w:hAnsi="Arial" w:cs="Arial"/>
        </w:rPr>
      </w:pPr>
      <w:r w:rsidRPr="00906321">
        <w:rPr>
          <w:rFonts w:ascii="Arial" w:hAnsi="Arial" w:cs="Arial"/>
        </w:rPr>
        <w:t xml:space="preserve">2 plasmas identifiés </w:t>
      </w:r>
      <w:r w:rsidRPr="00906321">
        <w:rPr>
          <w:rFonts w:ascii="Arial" w:hAnsi="Arial" w:cs="Arial"/>
          <w:color w:val="000000"/>
        </w:rPr>
        <w:t>MAUL et DROP préparés par Toulouse (d’où les nom</w:t>
      </w:r>
      <w:r w:rsidR="00BB7FD0">
        <w:rPr>
          <w:rFonts w:ascii="Arial" w:hAnsi="Arial" w:cs="Arial"/>
          <w:color w:val="000000"/>
        </w:rPr>
        <w:t>s choisis pour l’anonymisation</w:t>
      </w:r>
      <w:r w:rsidRPr="00906321">
        <w:rPr>
          <w:rFonts w:ascii="Arial" w:hAnsi="Arial" w:cs="Arial"/>
          <w:color w:val="000000"/>
        </w:rPr>
        <w:t xml:space="preserve">) </w:t>
      </w:r>
      <w:r w:rsidRPr="00906321">
        <w:rPr>
          <w:rFonts w:ascii="Arial" w:hAnsi="Arial" w:cs="Arial"/>
        </w:rPr>
        <w:t>ont été envoyés à 11 laboratoires (Bicêtre, Bordeaux, Brest, Grenoble, Lariboisière, Lille, Lyon, Rennes, Rouen, Toulouse, Tours) identifiés de manière aléatoire 1 à 11.</w:t>
      </w:r>
    </w:p>
    <w:p w:rsidR="00906321" w:rsidRPr="00906321" w:rsidRDefault="00906321" w:rsidP="005277C8">
      <w:pPr>
        <w:jc w:val="both"/>
        <w:rPr>
          <w:rFonts w:ascii="Arial" w:hAnsi="Arial" w:cs="Arial"/>
          <w:color w:val="000000"/>
        </w:rPr>
      </w:pPr>
    </w:p>
    <w:p w:rsidR="00906321" w:rsidRPr="00906321" w:rsidRDefault="00906321" w:rsidP="005277C8">
      <w:pPr>
        <w:jc w:val="both"/>
        <w:rPr>
          <w:rFonts w:ascii="Arial" w:hAnsi="Arial" w:cs="Arial"/>
        </w:rPr>
      </w:pPr>
      <w:r w:rsidRPr="00906321">
        <w:rPr>
          <w:rFonts w:ascii="Arial" w:hAnsi="Arial" w:cs="Arial"/>
        </w:rPr>
        <w:t xml:space="preserve">3 laboratoires (Bicêtre, Lille, Toulouse) utilisent une méthode manuelle, selon une référence publiée </w:t>
      </w:r>
    </w:p>
    <w:p w:rsidR="00906321" w:rsidRPr="00906321" w:rsidRDefault="00906321" w:rsidP="005277C8">
      <w:pPr>
        <w:jc w:val="both"/>
        <w:rPr>
          <w:rFonts w:ascii="Arial" w:hAnsi="Arial" w:cs="Arial"/>
        </w:rPr>
      </w:pPr>
      <w:r w:rsidRPr="00906321">
        <w:rPr>
          <w:rFonts w:ascii="Arial" w:hAnsi="Arial" w:cs="Arial"/>
        </w:rPr>
        <w:t>8 laboratoires (Bordeaux, Brest, Grenoble, Lariboisière, Lyon, Rennes, Rouen, Tours) utilisent une méthode commerciale, Asserachrom</w:t>
      </w:r>
      <w:r>
        <w:rPr>
          <w:rFonts w:ascii="Arial" w:hAnsi="Arial" w:cs="Arial"/>
        </w:rPr>
        <w:t>®</w:t>
      </w:r>
      <w:r w:rsidRPr="00906321">
        <w:rPr>
          <w:rFonts w:ascii="Arial" w:hAnsi="Arial" w:cs="Arial"/>
        </w:rPr>
        <w:t xml:space="preserve"> VWF : FVIIIB Stago </w:t>
      </w:r>
    </w:p>
    <w:p w:rsidR="00457ED1" w:rsidRDefault="00457ED1" w:rsidP="00906321">
      <w:pPr>
        <w:rPr>
          <w:rFonts w:ascii="Arial" w:hAnsi="Arial" w:cs="Arial"/>
          <w:u w:val="single"/>
        </w:rPr>
      </w:pPr>
    </w:p>
    <w:p w:rsidR="00906321" w:rsidRDefault="00906321" w:rsidP="00906321">
      <w:pPr>
        <w:rPr>
          <w:rFonts w:ascii="Arial" w:hAnsi="Arial" w:cs="Arial"/>
          <w:u w:val="single"/>
        </w:rPr>
      </w:pPr>
      <w:r w:rsidRPr="00906321">
        <w:rPr>
          <w:rFonts w:ascii="Arial" w:hAnsi="Arial" w:cs="Arial"/>
          <w:u w:val="single"/>
        </w:rPr>
        <w:t>Identification des échantillons</w:t>
      </w:r>
    </w:p>
    <w:p w:rsidR="00457ED1" w:rsidRPr="00906321" w:rsidRDefault="00457ED1" w:rsidP="00906321">
      <w:pPr>
        <w:rPr>
          <w:rFonts w:ascii="Arial" w:hAnsi="Arial" w:cs="Arial"/>
          <w:u w:val="single"/>
        </w:rPr>
      </w:pPr>
    </w:p>
    <w:tbl>
      <w:tblPr>
        <w:tblW w:w="8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1398"/>
        <w:gridCol w:w="1462"/>
        <w:gridCol w:w="1081"/>
        <w:gridCol w:w="1271"/>
        <w:gridCol w:w="1396"/>
      </w:tblGrid>
      <w:tr w:rsidR="00906321" w:rsidRPr="00906321" w:rsidTr="00906321">
        <w:trPr>
          <w:trHeight w:val="235"/>
        </w:trPr>
        <w:tc>
          <w:tcPr>
            <w:tcW w:w="1453" w:type="dxa"/>
            <w:shd w:val="clear" w:color="auto" w:fill="C2D69B"/>
            <w:noWrap/>
            <w:hideMark/>
          </w:tcPr>
          <w:p w:rsidR="00906321" w:rsidRPr="00906321" w:rsidRDefault="00906321" w:rsidP="008646DF">
            <w:pPr>
              <w:rPr>
                <w:rFonts w:ascii="Arial" w:hAnsi="Arial" w:cs="Arial"/>
                <w:b/>
                <w:bCs/>
                <w:sz w:val="20"/>
                <w:szCs w:val="28"/>
              </w:rPr>
            </w:pPr>
            <w:r w:rsidRPr="00906321">
              <w:rPr>
                <w:rFonts w:ascii="Arial" w:hAnsi="Arial" w:cs="Arial"/>
                <w:b/>
                <w:bCs/>
                <w:sz w:val="20"/>
                <w:szCs w:val="28"/>
              </w:rPr>
              <w:t>Echantillon</w:t>
            </w:r>
          </w:p>
        </w:tc>
        <w:tc>
          <w:tcPr>
            <w:tcW w:w="1461" w:type="dxa"/>
            <w:shd w:val="clear" w:color="auto" w:fill="C2D69B"/>
          </w:tcPr>
          <w:p w:rsidR="00906321" w:rsidRPr="00906321" w:rsidRDefault="00906321" w:rsidP="008646DF">
            <w:pPr>
              <w:rPr>
                <w:rFonts w:ascii="Arial" w:hAnsi="Arial" w:cs="Arial"/>
                <w:b/>
                <w:sz w:val="20"/>
                <w:szCs w:val="28"/>
              </w:rPr>
            </w:pPr>
            <w:r w:rsidRPr="00906321">
              <w:rPr>
                <w:rFonts w:ascii="Arial" w:hAnsi="Arial" w:cs="Arial"/>
                <w:b/>
                <w:sz w:val="20"/>
                <w:szCs w:val="28"/>
              </w:rPr>
              <w:t>Données cliniques</w:t>
            </w:r>
          </w:p>
        </w:tc>
        <w:tc>
          <w:tcPr>
            <w:tcW w:w="1462" w:type="dxa"/>
            <w:shd w:val="clear" w:color="auto" w:fill="C2D69B"/>
          </w:tcPr>
          <w:p w:rsidR="00906321" w:rsidRPr="00906321" w:rsidRDefault="00906321" w:rsidP="008646DF">
            <w:pPr>
              <w:rPr>
                <w:rFonts w:ascii="Arial" w:hAnsi="Arial" w:cs="Arial"/>
                <w:b/>
                <w:sz w:val="20"/>
                <w:szCs w:val="28"/>
              </w:rPr>
            </w:pPr>
            <w:r w:rsidRPr="00906321">
              <w:rPr>
                <w:rFonts w:ascii="Arial" w:hAnsi="Arial" w:cs="Arial"/>
                <w:b/>
                <w:sz w:val="20"/>
                <w:szCs w:val="28"/>
              </w:rPr>
              <w:t>Identification</w:t>
            </w:r>
          </w:p>
        </w:tc>
        <w:tc>
          <w:tcPr>
            <w:tcW w:w="3685" w:type="dxa"/>
            <w:gridSpan w:val="3"/>
            <w:shd w:val="clear" w:color="auto" w:fill="C2D69B"/>
          </w:tcPr>
          <w:p w:rsidR="00906321" w:rsidRPr="00906321" w:rsidRDefault="00906321" w:rsidP="008646DF">
            <w:pPr>
              <w:jc w:val="center"/>
              <w:rPr>
                <w:rFonts w:ascii="Arial" w:hAnsi="Arial" w:cs="Arial"/>
                <w:b/>
                <w:bCs/>
                <w:sz w:val="20"/>
                <w:szCs w:val="28"/>
              </w:rPr>
            </w:pPr>
            <w:r w:rsidRPr="00906321">
              <w:rPr>
                <w:rFonts w:ascii="Arial" w:hAnsi="Arial" w:cs="Arial"/>
                <w:b/>
                <w:bCs/>
                <w:sz w:val="20"/>
                <w:szCs w:val="28"/>
              </w:rPr>
              <w:t>Données</w:t>
            </w:r>
          </w:p>
        </w:tc>
      </w:tr>
      <w:tr w:rsidR="00906321" w:rsidRPr="00906321" w:rsidTr="00906321">
        <w:trPr>
          <w:trHeight w:val="560"/>
        </w:trPr>
        <w:tc>
          <w:tcPr>
            <w:tcW w:w="1453" w:type="dxa"/>
            <w:shd w:val="clear" w:color="auto" w:fill="auto"/>
            <w:noWrap/>
            <w:hideMark/>
          </w:tcPr>
          <w:p w:rsidR="00906321" w:rsidRPr="00906321" w:rsidRDefault="00906321" w:rsidP="008646DF">
            <w:pPr>
              <w:rPr>
                <w:rFonts w:ascii="Arial" w:hAnsi="Arial" w:cs="Arial"/>
                <w:b/>
                <w:sz w:val="20"/>
                <w:szCs w:val="28"/>
              </w:rPr>
            </w:pPr>
          </w:p>
        </w:tc>
        <w:tc>
          <w:tcPr>
            <w:tcW w:w="1461" w:type="dxa"/>
          </w:tcPr>
          <w:p w:rsidR="00906321" w:rsidRPr="00906321" w:rsidRDefault="00906321" w:rsidP="008646DF">
            <w:pPr>
              <w:rPr>
                <w:rFonts w:ascii="Arial" w:hAnsi="Arial" w:cs="Arial"/>
                <w:b/>
                <w:bCs/>
                <w:sz w:val="20"/>
                <w:szCs w:val="28"/>
              </w:rPr>
            </w:pPr>
          </w:p>
        </w:tc>
        <w:tc>
          <w:tcPr>
            <w:tcW w:w="1462" w:type="dxa"/>
            <w:shd w:val="clear" w:color="auto" w:fill="auto"/>
          </w:tcPr>
          <w:p w:rsidR="00906321" w:rsidRPr="00906321" w:rsidRDefault="00906321" w:rsidP="008646DF">
            <w:pPr>
              <w:rPr>
                <w:rFonts w:ascii="Arial" w:hAnsi="Arial" w:cs="Arial"/>
                <w:b/>
                <w:bCs/>
                <w:sz w:val="20"/>
                <w:szCs w:val="28"/>
              </w:rPr>
            </w:pPr>
          </w:p>
        </w:tc>
        <w:tc>
          <w:tcPr>
            <w:tcW w:w="1081" w:type="dxa"/>
            <w:shd w:val="clear" w:color="auto" w:fill="auto"/>
            <w:noWrap/>
            <w:hideMark/>
          </w:tcPr>
          <w:p w:rsidR="00906321" w:rsidRPr="00BB7FD0" w:rsidRDefault="00906321" w:rsidP="008646DF">
            <w:pPr>
              <w:rPr>
                <w:rFonts w:ascii="Arial" w:hAnsi="Arial" w:cs="Arial"/>
                <w:b/>
                <w:bCs/>
                <w:sz w:val="18"/>
                <w:szCs w:val="18"/>
              </w:rPr>
            </w:pPr>
            <w:r w:rsidRPr="00BB7FD0">
              <w:rPr>
                <w:rFonts w:ascii="Arial" w:hAnsi="Arial" w:cs="Arial"/>
                <w:b/>
                <w:bCs/>
                <w:sz w:val="18"/>
                <w:szCs w:val="18"/>
              </w:rPr>
              <w:t>FVIII (%)</w:t>
            </w:r>
          </w:p>
        </w:tc>
        <w:tc>
          <w:tcPr>
            <w:tcW w:w="1271" w:type="dxa"/>
            <w:shd w:val="clear" w:color="auto" w:fill="auto"/>
            <w:noWrap/>
          </w:tcPr>
          <w:p w:rsidR="00906321" w:rsidRPr="00BB7FD0" w:rsidRDefault="00906321" w:rsidP="008646DF">
            <w:pPr>
              <w:rPr>
                <w:rFonts w:ascii="Arial" w:hAnsi="Arial" w:cs="Arial"/>
                <w:b/>
                <w:bCs/>
                <w:sz w:val="16"/>
                <w:szCs w:val="16"/>
              </w:rPr>
            </w:pPr>
            <w:r w:rsidRPr="00BB7FD0">
              <w:rPr>
                <w:rFonts w:ascii="Arial" w:hAnsi="Arial" w:cs="Arial"/>
                <w:b/>
                <w:bCs/>
                <w:sz w:val="16"/>
                <w:szCs w:val="16"/>
              </w:rPr>
              <w:t>VWF : Ag (%)</w:t>
            </w:r>
          </w:p>
        </w:tc>
        <w:tc>
          <w:tcPr>
            <w:tcW w:w="1332" w:type="dxa"/>
          </w:tcPr>
          <w:p w:rsidR="00BB7FD0" w:rsidRDefault="00906321" w:rsidP="008646DF">
            <w:pPr>
              <w:rPr>
                <w:rFonts w:ascii="Arial" w:hAnsi="Arial" w:cs="Arial"/>
                <w:b/>
                <w:bCs/>
                <w:sz w:val="18"/>
                <w:szCs w:val="18"/>
              </w:rPr>
            </w:pPr>
            <w:r w:rsidRPr="00BB7FD0">
              <w:rPr>
                <w:rFonts w:ascii="Arial" w:hAnsi="Arial" w:cs="Arial"/>
                <w:b/>
                <w:bCs/>
                <w:sz w:val="18"/>
                <w:szCs w:val="18"/>
              </w:rPr>
              <w:t xml:space="preserve">Ratio </w:t>
            </w:r>
          </w:p>
          <w:p w:rsidR="00906321" w:rsidRPr="00BB7FD0" w:rsidRDefault="00BB7FD0" w:rsidP="008646DF">
            <w:pPr>
              <w:rPr>
                <w:rFonts w:ascii="Arial" w:hAnsi="Arial" w:cs="Arial"/>
                <w:b/>
                <w:bCs/>
                <w:sz w:val="18"/>
                <w:szCs w:val="18"/>
              </w:rPr>
            </w:pPr>
            <w:r>
              <w:rPr>
                <w:rFonts w:ascii="Arial" w:hAnsi="Arial" w:cs="Arial"/>
                <w:b/>
                <w:bCs/>
                <w:sz w:val="18"/>
                <w:szCs w:val="18"/>
              </w:rPr>
              <w:t>FVIII</w:t>
            </w:r>
            <w:r w:rsidR="00906321" w:rsidRPr="00BB7FD0">
              <w:rPr>
                <w:rFonts w:ascii="Arial" w:hAnsi="Arial" w:cs="Arial"/>
                <w:b/>
                <w:bCs/>
                <w:sz w:val="18"/>
                <w:szCs w:val="18"/>
              </w:rPr>
              <w:t>/VWF</w:t>
            </w:r>
            <w:r w:rsidRPr="00BB7FD0">
              <w:rPr>
                <w:rFonts w:ascii="Arial" w:hAnsi="Arial" w:cs="Arial"/>
                <w:b/>
                <w:bCs/>
                <w:sz w:val="18"/>
                <w:szCs w:val="18"/>
              </w:rPr>
              <w:t> :</w:t>
            </w:r>
            <w:r w:rsidR="00906321" w:rsidRPr="00BB7FD0">
              <w:rPr>
                <w:rFonts w:ascii="Arial" w:hAnsi="Arial" w:cs="Arial"/>
                <w:b/>
                <w:bCs/>
                <w:sz w:val="18"/>
                <w:szCs w:val="18"/>
              </w:rPr>
              <w:t>Ag</w:t>
            </w:r>
          </w:p>
        </w:tc>
      </w:tr>
      <w:tr w:rsidR="00906321" w:rsidRPr="00906321" w:rsidTr="00906321">
        <w:trPr>
          <w:trHeight w:val="471"/>
        </w:trPr>
        <w:tc>
          <w:tcPr>
            <w:tcW w:w="1453" w:type="dxa"/>
            <w:shd w:val="clear" w:color="auto" w:fill="auto"/>
            <w:noWrap/>
            <w:hideMark/>
          </w:tcPr>
          <w:p w:rsidR="00906321" w:rsidRPr="00906321" w:rsidRDefault="00906321" w:rsidP="008646DF">
            <w:pPr>
              <w:rPr>
                <w:rFonts w:ascii="Arial" w:hAnsi="Arial" w:cs="Arial"/>
                <w:color w:val="000000"/>
                <w:sz w:val="20"/>
              </w:rPr>
            </w:pPr>
            <w:r w:rsidRPr="00906321">
              <w:rPr>
                <w:rFonts w:ascii="Arial" w:hAnsi="Arial" w:cs="Arial"/>
                <w:color w:val="000000"/>
                <w:sz w:val="20"/>
              </w:rPr>
              <w:t>MAUL</w:t>
            </w:r>
          </w:p>
          <w:p w:rsidR="00906321" w:rsidRPr="00906321" w:rsidRDefault="00906321" w:rsidP="008646DF">
            <w:pPr>
              <w:rPr>
                <w:rFonts w:ascii="Arial" w:hAnsi="Arial" w:cs="Arial"/>
                <w:b/>
                <w:sz w:val="20"/>
                <w:szCs w:val="28"/>
                <w:u w:val="single"/>
              </w:rPr>
            </w:pPr>
          </w:p>
        </w:tc>
        <w:tc>
          <w:tcPr>
            <w:tcW w:w="1461" w:type="dxa"/>
          </w:tcPr>
          <w:p w:rsidR="00906321" w:rsidRPr="00906321" w:rsidRDefault="00906321" w:rsidP="008646DF">
            <w:pPr>
              <w:rPr>
                <w:rFonts w:ascii="Arial" w:hAnsi="Arial" w:cs="Arial"/>
                <w:color w:val="000000"/>
                <w:sz w:val="20"/>
              </w:rPr>
            </w:pPr>
          </w:p>
        </w:tc>
        <w:tc>
          <w:tcPr>
            <w:tcW w:w="1462" w:type="dxa"/>
            <w:shd w:val="clear" w:color="auto" w:fill="auto"/>
            <w:vAlign w:val="bottom"/>
          </w:tcPr>
          <w:p w:rsidR="00906321" w:rsidRPr="00906321" w:rsidRDefault="00906321" w:rsidP="008646DF">
            <w:pPr>
              <w:rPr>
                <w:rFonts w:ascii="Arial" w:hAnsi="Arial" w:cs="Arial"/>
                <w:b/>
                <w:color w:val="000000"/>
                <w:sz w:val="20"/>
              </w:rPr>
            </w:pPr>
            <w:r w:rsidRPr="00906321">
              <w:rPr>
                <w:rFonts w:ascii="Arial" w:hAnsi="Arial" w:cs="Arial"/>
                <w:b/>
                <w:color w:val="000000"/>
                <w:sz w:val="20"/>
              </w:rPr>
              <w:t>VWD 2N (2N/3)</w:t>
            </w:r>
          </w:p>
        </w:tc>
        <w:tc>
          <w:tcPr>
            <w:tcW w:w="1081" w:type="dxa"/>
            <w:shd w:val="clear" w:color="auto" w:fill="auto"/>
            <w:noWrap/>
            <w:hideMark/>
          </w:tcPr>
          <w:p w:rsidR="00906321" w:rsidRPr="00906321" w:rsidRDefault="00906321" w:rsidP="008646DF">
            <w:pPr>
              <w:rPr>
                <w:rFonts w:ascii="Arial" w:hAnsi="Arial" w:cs="Arial"/>
                <w:b/>
                <w:sz w:val="20"/>
                <w:szCs w:val="28"/>
              </w:rPr>
            </w:pPr>
            <w:r w:rsidRPr="00906321">
              <w:rPr>
                <w:rFonts w:ascii="Arial" w:hAnsi="Arial" w:cs="Arial"/>
                <w:b/>
                <w:sz w:val="20"/>
                <w:szCs w:val="28"/>
              </w:rPr>
              <w:t>42</w:t>
            </w:r>
          </w:p>
        </w:tc>
        <w:tc>
          <w:tcPr>
            <w:tcW w:w="1271" w:type="dxa"/>
            <w:shd w:val="clear" w:color="auto" w:fill="auto"/>
            <w:noWrap/>
            <w:hideMark/>
          </w:tcPr>
          <w:p w:rsidR="00906321" w:rsidRPr="00906321" w:rsidRDefault="00906321" w:rsidP="008646DF">
            <w:pPr>
              <w:rPr>
                <w:rFonts w:ascii="Arial" w:hAnsi="Arial" w:cs="Arial"/>
                <w:b/>
                <w:sz w:val="20"/>
                <w:szCs w:val="28"/>
              </w:rPr>
            </w:pPr>
            <w:r w:rsidRPr="00906321">
              <w:rPr>
                <w:rFonts w:ascii="Arial" w:hAnsi="Arial" w:cs="Arial"/>
                <w:b/>
                <w:sz w:val="20"/>
                <w:szCs w:val="28"/>
              </w:rPr>
              <w:t>94</w:t>
            </w:r>
          </w:p>
        </w:tc>
        <w:tc>
          <w:tcPr>
            <w:tcW w:w="1332" w:type="dxa"/>
          </w:tcPr>
          <w:p w:rsidR="00906321" w:rsidRPr="00906321" w:rsidRDefault="00906321" w:rsidP="008646DF">
            <w:pPr>
              <w:rPr>
                <w:rFonts w:ascii="Arial" w:hAnsi="Arial" w:cs="Arial"/>
                <w:b/>
                <w:sz w:val="20"/>
                <w:szCs w:val="28"/>
              </w:rPr>
            </w:pPr>
            <w:r w:rsidRPr="00906321">
              <w:rPr>
                <w:rFonts w:ascii="Arial" w:hAnsi="Arial" w:cs="Arial"/>
                <w:b/>
                <w:sz w:val="20"/>
                <w:szCs w:val="28"/>
              </w:rPr>
              <w:t>0.45</w:t>
            </w:r>
          </w:p>
        </w:tc>
      </w:tr>
      <w:tr w:rsidR="00906321" w:rsidRPr="00906321" w:rsidTr="00906321">
        <w:trPr>
          <w:trHeight w:val="480"/>
        </w:trPr>
        <w:tc>
          <w:tcPr>
            <w:tcW w:w="1453" w:type="dxa"/>
            <w:shd w:val="clear" w:color="auto" w:fill="auto"/>
            <w:noWrap/>
            <w:hideMark/>
          </w:tcPr>
          <w:p w:rsidR="00906321" w:rsidRPr="00906321" w:rsidRDefault="00906321" w:rsidP="008646DF">
            <w:pPr>
              <w:rPr>
                <w:rFonts w:ascii="Arial" w:hAnsi="Arial" w:cs="Arial"/>
                <w:color w:val="000000"/>
                <w:sz w:val="20"/>
              </w:rPr>
            </w:pPr>
            <w:r w:rsidRPr="00906321">
              <w:rPr>
                <w:rFonts w:ascii="Arial" w:hAnsi="Arial" w:cs="Arial"/>
                <w:color w:val="000000"/>
                <w:sz w:val="20"/>
              </w:rPr>
              <w:t>DROP</w:t>
            </w:r>
          </w:p>
          <w:p w:rsidR="00906321" w:rsidRPr="00906321" w:rsidRDefault="00906321" w:rsidP="008646DF">
            <w:pPr>
              <w:rPr>
                <w:rFonts w:ascii="Arial" w:hAnsi="Arial" w:cs="Arial"/>
                <w:b/>
                <w:sz w:val="20"/>
                <w:szCs w:val="28"/>
                <w:u w:val="single"/>
              </w:rPr>
            </w:pPr>
          </w:p>
        </w:tc>
        <w:tc>
          <w:tcPr>
            <w:tcW w:w="1461" w:type="dxa"/>
          </w:tcPr>
          <w:p w:rsidR="00906321" w:rsidRPr="00906321" w:rsidRDefault="00906321" w:rsidP="008646DF">
            <w:pPr>
              <w:rPr>
                <w:rFonts w:ascii="Arial" w:hAnsi="Arial" w:cs="Arial"/>
                <w:color w:val="000000"/>
                <w:sz w:val="20"/>
              </w:rPr>
            </w:pPr>
          </w:p>
        </w:tc>
        <w:tc>
          <w:tcPr>
            <w:tcW w:w="1462" w:type="dxa"/>
            <w:shd w:val="clear" w:color="auto" w:fill="auto"/>
            <w:vAlign w:val="bottom"/>
          </w:tcPr>
          <w:p w:rsidR="00906321" w:rsidRPr="00906321" w:rsidRDefault="00906321" w:rsidP="008646DF">
            <w:pPr>
              <w:rPr>
                <w:rFonts w:ascii="Arial" w:hAnsi="Arial" w:cs="Arial"/>
                <w:b/>
                <w:color w:val="000000"/>
                <w:sz w:val="20"/>
              </w:rPr>
            </w:pPr>
            <w:r w:rsidRPr="00906321">
              <w:rPr>
                <w:rFonts w:ascii="Arial" w:hAnsi="Arial" w:cs="Arial"/>
                <w:b/>
                <w:color w:val="000000"/>
                <w:sz w:val="20"/>
              </w:rPr>
              <w:t xml:space="preserve">Hémophile A mineur </w:t>
            </w:r>
          </w:p>
        </w:tc>
        <w:tc>
          <w:tcPr>
            <w:tcW w:w="1081" w:type="dxa"/>
            <w:shd w:val="clear" w:color="auto" w:fill="auto"/>
            <w:noWrap/>
            <w:hideMark/>
          </w:tcPr>
          <w:p w:rsidR="00906321" w:rsidRPr="00906321" w:rsidRDefault="00906321" w:rsidP="008646DF">
            <w:pPr>
              <w:rPr>
                <w:rFonts w:ascii="Arial" w:hAnsi="Arial" w:cs="Arial"/>
                <w:b/>
                <w:sz w:val="20"/>
                <w:szCs w:val="28"/>
              </w:rPr>
            </w:pPr>
            <w:r w:rsidRPr="00906321">
              <w:rPr>
                <w:rFonts w:ascii="Arial" w:hAnsi="Arial" w:cs="Arial"/>
                <w:b/>
                <w:sz w:val="20"/>
                <w:szCs w:val="28"/>
              </w:rPr>
              <w:t>35</w:t>
            </w:r>
          </w:p>
        </w:tc>
        <w:tc>
          <w:tcPr>
            <w:tcW w:w="1271" w:type="dxa"/>
            <w:shd w:val="clear" w:color="auto" w:fill="auto"/>
            <w:noWrap/>
            <w:hideMark/>
          </w:tcPr>
          <w:p w:rsidR="00906321" w:rsidRPr="00906321" w:rsidRDefault="00906321" w:rsidP="008646DF">
            <w:pPr>
              <w:rPr>
                <w:rFonts w:ascii="Arial" w:hAnsi="Arial" w:cs="Arial"/>
                <w:b/>
                <w:sz w:val="20"/>
                <w:szCs w:val="28"/>
              </w:rPr>
            </w:pPr>
            <w:r w:rsidRPr="00906321">
              <w:rPr>
                <w:rFonts w:ascii="Arial" w:hAnsi="Arial" w:cs="Arial"/>
                <w:b/>
                <w:sz w:val="20"/>
                <w:szCs w:val="28"/>
              </w:rPr>
              <w:t>103</w:t>
            </w:r>
          </w:p>
        </w:tc>
        <w:tc>
          <w:tcPr>
            <w:tcW w:w="1332" w:type="dxa"/>
          </w:tcPr>
          <w:p w:rsidR="00906321" w:rsidRPr="00906321" w:rsidRDefault="00906321" w:rsidP="008646DF">
            <w:pPr>
              <w:rPr>
                <w:rFonts w:ascii="Arial" w:hAnsi="Arial" w:cs="Arial"/>
                <w:b/>
                <w:sz w:val="20"/>
                <w:szCs w:val="28"/>
              </w:rPr>
            </w:pPr>
            <w:r w:rsidRPr="00906321">
              <w:rPr>
                <w:rFonts w:ascii="Arial" w:hAnsi="Arial" w:cs="Arial"/>
                <w:b/>
                <w:sz w:val="20"/>
                <w:szCs w:val="28"/>
              </w:rPr>
              <w:t>0.34</w:t>
            </w:r>
          </w:p>
        </w:tc>
      </w:tr>
    </w:tbl>
    <w:p w:rsidR="00BB7FD0" w:rsidRDefault="00BB7FD0" w:rsidP="00906321">
      <w:pPr>
        <w:tabs>
          <w:tab w:val="left" w:pos="2310"/>
        </w:tabs>
        <w:rPr>
          <w:rFonts w:ascii="Arial" w:hAnsi="Arial" w:cs="Arial"/>
          <w:szCs w:val="28"/>
        </w:rPr>
      </w:pPr>
    </w:p>
    <w:p w:rsidR="00906321" w:rsidRPr="00906321" w:rsidRDefault="00906321" w:rsidP="00906321">
      <w:pPr>
        <w:tabs>
          <w:tab w:val="left" w:pos="2310"/>
        </w:tabs>
        <w:rPr>
          <w:rFonts w:ascii="Arial" w:hAnsi="Arial" w:cs="Arial"/>
          <w:szCs w:val="28"/>
        </w:rPr>
      </w:pPr>
      <w:r w:rsidRPr="00906321">
        <w:rPr>
          <w:rFonts w:ascii="Arial" w:hAnsi="Arial" w:cs="Arial"/>
          <w:szCs w:val="28"/>
        </w:rPr>
        <w:t>Les données d’identification n’étaient pas précisées aux participants.</w:t>
      </w:r>
      <w:r w:rsidRPr="00906321">
        <w:rPr>
          <w:rFonts w:ascii="Arial" w:hAnsi="Arial" w:cs="Arial"/>
          <w:szCs w:val="28"/>
        </w:rPr>
        <w:tab/>
      </w:r>
    </w:p>
    <w:p w:rsidR="00906321" w:rsidRPr="00906321" w:rsidRDefault="00906321" w:rsidP="00906321">
      <w:pPr>
        <w:numPr>
          <w:ilvl w:val="0"/>
          <w:numId w:val="24"/>
        </w:numPr>
        <w:spacing w:after="200"/>
        <w:rPr>
          <w:rFonts w:ascii="Arial" w:hAnsi="Arial" w:cs="Arial"/>
        </w:rPr>
      </w:pPr>
      <w:r w:rsidRPr="00906321">
        <w:rPr>
          <w:rFonts w:ascii="Arial" w:hAnsi="Arial" w:cs="Arial"/>
        </w:rPr>
        <w:t>Tous les laboratoires ont répondu</w:t>
      </w:r>
    </w:p>
    <w:p w:rsidR="00906321" w:rsidRPr="00906321" w:rsidRDefault="00906321" w:rsidP="00906321">
      <w:pPr>
        <w:numPr>
          <w:ilvl w:val="0"/>
          <w:numId w:val="24"/>
        </w:numPr>
        <w:spacing w:after="200"/>
        <w:rPr>
          <w:rFonts w:ascii="Arial" w:hAnsi="Arial" w:cs="Arial"/>
        </w:rPr>
      </w:pPr>
      <w:r w:rsidRPr="00906321">
        <w:rPr>
          <w:rFonts w:ascii="Arial" w:hAnsi="Arial" w:cs="Arial"/>
        </w:rPr>
        <w:t>Le laboratoire 4 a probablement inversé les 2 échantillons, les résultats n’ont pas été pris en compte pour le calcul de la moyenne attendue.</w:t>
      </w:r>
    </w:p>
    <w:p w:rsidR="00906321" w:rsidRPr="00906321" w:rsidRDefault="00906321" w:rsidP="00906321">
      <w:pPr>
        <w:numPr>
          <w:ilvl w:val="0"/>
          <w:numId w:val="25"/>
        </w:numPr>
        <w:spacing w:after="200"/>
        <w:rPr>
          <w:rFonts w:ascii="Arial" w:hAnsi="Arial" w:cs="Arial"/>
        </w:rPr>
      </w:pPr>
      <w:r w:rsidRPr="00906321">
        <w:rPr>
          <w:rFonts w:ascii="Arial" w:hAnsi="Arial" w:cs="Arial"/>
        </w:rPr>
        <w:t>Résultats de</w:t>
      </w:r>
      <w:r w:rsidR="00BB7FD0">
        <w:rPr>
          <w:rFonts w:ascii="Arial" w:hAnsi="Arial" w:cs="Arial"/>
        </w:rPr>
        <w:t>s %</w:t>
      </w:r>
      <w:r w:rsidRPr="00906321">
        <w:rPr>
          <w:rFonts w:ascii="Arial" w:hAnsi="Arial" w:cs="Arial"/>
        </w:rPr>
        <w:t xml:space="preserve"> de fixation pour l’ensemble des laboratoires : </w:t>
      </w:r>
    </w:p>
    <w:tbl>
      <w:tblPr>
        <w:tblW w:w="8693"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Look w:val="04A0" w:firstRow="1" w:lastRow="0" w:firstColumn="1" w:lastColumn="0" w:noHBand="0" w:noVBand="1"/>
      </w:tblPr>
      <w:tblGrid>
        <w:gridCol w:w="2277"/>
        <w:gridCol w:w="1604"/>
        <w:gridCol w:w="1604"/>
        <w:gridCol w:w="1604"/>
        <w:gridCol w:w="1604"/>
      </w:tblGrid>
      <w:tr w:rsidR="00906321" w:rsidRPr="00906321" w:rsidTr="008646DF">
        <w:trPr>
          <w:trHeight w:val="312"/>
        </w:trPr>
        <w:tc>
          <w:tcPr>
            <w:tcW w:w="2277" w:type="dxa"/>
            <w:shd w:val="clear" w:color="auto" w:fill="E6EED5"/>
            <w:noWrap/>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Asserachrom (n=6)</w:t>
            </w:r>
          </w:p>
        </w:tc>
        <w:tc>
          <w:tcPr>
            <w:tcW w:w="6416" w:type="dxa"/>
            <w:gridSpan w:val="4"/>
            <w:shd w:val="clear" w:color="auto" w:fill="E6EED5"/>
            <w:noWrap/>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Pourcentage de fixation</w:t>
            </w:r>
          </w:p>
        </w:tc>
      </w:tr>
      <w:tr w:rsidR="00906321" w:rsidRPr="00906321" w:rsidTr="008646DF">
        <w:trPr>
          <w:trHeight w:val="491"/>
        </w:trPr>
        <w:tc>
          <w:tcPr>
            <w:tcW w:w="2277" w:type="dxa"/>
            <w:shd w:val="clear" w:color="auto" w:fill="CDDDAC"/>
            <w:noWrap/>
            <w:hideMark/>
          </w:tcPr>
          <w:p w:rsidR="00906321" w:rsidRPr="00906321" w:rsidRDefault="00906321" w:rsidP="008646DF">
            <w:pPr>
              <w:rPr>
                <w:rFonts w:ascii="Arial" w:hAnsi="Arial" w:cs="Arial"/>
                <w:sz w:val="20"/>
                <w:szCs w:val="20"/>
              </w:rPr>
            </w:pPr>
          </w:p>
        </w:tc>
        <w:tc>
          <w:tcPr>
            <w:tcW w:w="1604" w:type="dxa"/>
            <w:shd w:val="clear" w:color="auto" w:fill="CDDDAC"/>
            <w:noWrap/>
            <w:hideMark/>
          </w:tcPr>
          <w:p w:rsidR="00906321" w:rsidRPr="00906321" w:rsidRDefault="00906321" w:rsidP="008646DF">
            <w:pPr>
              <w:jc w:val="center"/>
              <w:rPr>
                <w:rFonts w:ascii="Arial" w:hAnsi="Arial" w:cs="Arial"/>
                <w:b/>
                <w:sz w:val="20"/>
                <w:szCs w:val="20"/>
              </w:rPr>
            </w:pPr>
            <w:r w:rsidRPr="00906321">
              <w:rPr>
                <w:rFonts w:ascii="Arial" w:hAnsi="Arial" w:cs="Arial"/>
                <w:b/>
                <w:sz w:val="20"/>
                <w:szCs w:val="20"/>
              </w:rPr>
              <w:t>Moyenne</w:t>
            </w:r>
          </w:p>
        </w:tc>
        <w:tc>
          <w:tcPr>
            <w:tcW w:w="1604" w:type="dxa"/>
            <w:shd w:val="clear" w:color="auto" w:fill="CDDDAC"/>
            <w:noWrap/>
            <w:hideMark/>
          </w:tcPr>
          <w:p w:rsidR="00906321" w:rsidRPr="00906321" w:rsidRDefault="00906321" w:rsidP="008646DF">
            <w:pPr>
              <w:jc w:val="center"/>
              <w:rPr>
                <w:rFonts w:ascii="Arial" w:hAnsi="Arial" w:cs="Arial"/>
                <w:b/>
                <w:sz w:val="20"/>
                <w:szCs w:val="20"/>
              </w:rPr>
            </w:pPr>
            <w:r w:rsidRPr="00906321">
              <w:rPr>
                <w:rFonts w:ascii="Arial" w:hAnsi="Arial" w:cs="Arial"/>
                <w:b/>
                <w:sz w:val="20"/>
                <w:szCs w:val="20"/>
              </w:rPr>
              <w:t>ET</w:t>
            </w:r>
          </w:p>
        </w:tc>
        <w:tc>
          <w:tcPr>
            <w:tcW w:w="1604" w:type="dxa"/>
            <w:shd w:val="clear" w:color="auto" w:fill="CDDDAC"/>
            <w:noWrap/>
            <w:hideMark/>
          </w:tcPr>
          <w:p w:rsidR="00906321" w:rsidRPr="00906321" w:rsidRDefault="00906321" w:rsidP="008646DF">
            <w:pPr>
              <w:jc w:val="center"/>
              <w:rPr>
                <w:rFonts w:ascii="Arial" w:hAnsi="Arial" w:cs="Arial"/>
                <w:b/>
                <w:sz w:val="20"/>
                <w:szCs w:val="20"/>
              </w:rPr>
            </w:pPr>
            <w:r w:rsidRPr="00906321">
              <w:rPr>
                <w:rFonts w:ascii="Arial" w:hAnsi="Arial" w:cs="Arial"/>
                <w:b/>
                <w:sz w:val="20"/>
                <w:szCs w:val="20"/>
              </w:rPr>
              <w:t>CV</w:t>
            </w:r>
          </w:p>
        </w:tc>
        <w:tc>
          <w:tcPr>
            <w:tcW w:w="1604" w:type="dxa"/>
            <w:shd w:val="clear" w:color="auto" w:fill="CDDDAC"/>
            <w:noWrap/>
            <w:hideMark/>
          </w:tcPr>
          <w:p w:rsidR="00906321" w:rsidRPr="00906321" w:rsidRDefault="00906321" w:rsidP="008646DF">
            <w:pPr>
              <w:jc w:val="center"/>
              <w:rPr>
                <w:rFonts w:ascii="Arial" w:hAnsi="Arial" w:cs="Arial"/>
                <w:b/>
                <w:sz w:val="20"/>
                <w:szCs w:val="20"/>
              </w:rPr>
            </w:pPr>
            <w:r w:rsidRPr="00906321">
              <w:rPr>
                <w:rFonts w:ascii="Arial" w:hAnsi="Arial" w:cs="Arial"/>
                <w:b/>
                <w:sz w:val="20"/>
                <w:szCs w:val="20"/>
              </w:rPr>
              <w:t>Range</w:t>
            </w:r>
          </w:p>
        </w:tc>
      </w:tr>
      <w:tr w:rsidR="00906321" w:rsidRPr="00906321" w:rsidTr="008646DF">
        <w:trPr>
          <w:trHeight w:val="298"/>
        </w:trPr>
        <w:tc>
          <w:tcPr>
            <w:tcW w:w="2277" w:type="dxa"/>
            <w:shd w:val="clear" w:color="auto" w:fill="E6EED5"/>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MAUL</w:t>
            </w:r>
          </w:p>
          <w:p w:rsidR="00906321" w:rsidRPr="00906321" w:rsidRDefault="00906321" w:rsidP="008646DF">
            <w:pPr>
              <w:rPr>
                <w:rFonts w:ascii="Arial" w:hAnsi="Arial" w:cs="Arial"/>
                <w:b/>
                <w:sz w:val="20"/>
                <w:szCs w:val="20"/>
                <w:u w:val="single"/>
              </w:rPr>
            </w:pPr>
          </w:p>
        </w:tc>
        <w:tc>
          <w:tcPr>
            <w:tcW w:w="1604" w:type="dxa"/>
            <w:shd w:val="clear" w:color="auto" w:fill="E6EED5"/>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12,21</w:t>
            </w:r>
          </w:p>
        </w:tc>
        <w:tc>
          <w:tcPr>
            <w:tcW w:w="1604" w:type="dxa"/>
            <w:shd w:val="clear" w:color="auto" w:fill="E6EED5"/>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3,05</w:t>
            </w:r>
          </w:p>
        </w:tc>
        <w:tc>
          <w:tcPr>
            <w:tcW w:w="1604" w:type="dxa"/>
            <w:shd w:val="clear" w:color="auto" w:fill="E6EED5"/>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24,89</w:t>
            </w:r>
          </w:p>
        </w:tc>
        <w:tc>
          <w:tcPr>
            <w:tcW w:w="1604" w:type="dxa"/>
            <w:shd w:val="clear" w:color="auto" w:fill="E6EED5"/>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9-18</w:t>
            </w:r>
          </w:p>
        </w:tc>
      </w:tr>
      <w:tr w:rsidR="00906321" w:rsidRPr="00906321" w:rsidTr="008646DF">
        <w:trPr>
          <w:trHeight w:val="298"/>
        </w:trPr>
        <w:tc>
          <w:tcPr>
            <w:tcW w:w="2277" w:type="dxa"/>
            <w:shd w:val="clear" w:color="auto" w:fill="CDDDAC"/>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DROP</w:t>
            </w:r>
          </w:p>
          <w:p w:rsidR="00906321" w:rsidRPr="00906321" w:rsidRDefault="00906321" w:rsidP="008646DF">
            <w:pPr>
              <w:rPr>
                <w:rFonts w:ascii="Arial" w:hAnsi="Arial" w:cs="Arial"/>
                <w:b/>
                <w:sz w:val="20"/>
                <w:szCs w:val="20"/>
                <w:u w:val="single"/>
              </w:rPr>
            </w:pPr>
          </w:p>
        </w:tc>
        <w:tc>
          <w:tcPr>
            <w:tcW w:w="1604" w:type="dxa"/>
            <w:shd w:val="clear" w:color="auto" w:fill="CDDDAC"/>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61,07</w:t>
            </w:r>
          </w:p>
        </w:tc>
        <w:tc>
          <w:tcPr>
            <w:tcW w:w="1604" w:type="dxa"/>
            <w:shd w:val="clear" w:color="auto" w:fill="CDDDAC"/>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6,34</w:t>
            </w:r>
          </w:p>
        </w:tc>
        <w:tc>
          <w:tcPr>
            <w:tcW w:w="1604" w:type="dxa"/>
            <w:shd w:val="clear" w:color="auto" w:fill="CDDDAC"/>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10,38</w:t>
            </w:r>
          </w:p>
        </w:tc>
        <w:tc>
          <w:tcPr>
            <w:tcW w:w="1604" w:type="dxa"/>
            <w:shd w:val="clear" w:color="auto" w:fill="CDDDAC"/>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53-71</w:t>
            </w:r>
          </w:p>
        </w:tc>
      </w:tr>
      <w:tr w:rsidR="00906321" w:rsidRPr="00906321" w:rsidTr="008646DF">
        <w:trPr>
          <w:trHeight w:val="298"/>
        </w:trPr>
        <w:tc>
          <w:tcPr>
            <w:tcW w:w="2277" w:type="dxa"/>
            <w:shd w:val="clear" w:color="auto" w:fill="E6EED5"/>
            <w:noWrap/>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Home made (n=3)</w:t>
            </w:r>
          </w:p>
        </w:tc>
        <w:tc>
          <w:tcPr>
            <w:tcW w:w="6416" w:type="dxa"/>
            <w:gridSpan w:val="4"/>
            <w:shd w:val="clear" w:color="auto" w:fill="E6EED5"/>
            <w:noWrap/>
            <w:hideMark/>
          </w:tcPr>
          <w:p w:rsidR="00906321" w:rsidRPr="00906321" w:rsidRDefault="00906321" w:rsidP="008646DF">
            <w:pPr>
              <w:jc w:val="center"/>
              <w:rPr>
                <w:rFonts w:ascii="Arial" w:hAnsi="Arial" w:cs="Arial"/>
                <w:color w:val="000000"/>
                <w:sz w:val="20"/>
                <w:szCs w:val="20"/>
              </w:rPr>
            </w:pPr>
            <w:r w:rsidRPr="00906321">
              <w:rPr>
                <w:rFonts w:ascii="Arial" w:hAnsi="Arial" w:cs="Arial"/>
                <w:b/>
                <w:bCs/>
                <w:color w:val="000000"/>
                <w:sz w:val="20"/>
                <w:szCs w:val="20"/>
              </w:rPr>
              <w:t>Pourcentage de fixation</w:t>
            </w:r>
          </w:p>
        </w:tc>
      </w:tr>
      <w:tr w:rsidR="00906321" w:rsidRPr="00906321" w:rsidTr="008646DF">
        <w:trPr>
          <w:trHeight w:val="298"/>
        </w:trPr>
        <w:tc>
          <w:tcPr>
            <w:tcW w:w="2277" w:type="dxa"/>
            <w:shd w:val="clear" w:color="auto" w:fill="CDDDAC"/>
            <w:noWrap/>
            <w:vAlign w:val="bottom"/>
            <w:hideMark/>
          </w:tcPr>
          <w:p w:rsidR="00906321" w:rsidRPr="00906321" w:rsidRDefault="00906321" w:rsidP="008646DF">
            <w:pPr>
              <w:rPr>
                <w:rFonts w:ascii="Arial" w:hAnsi="Arial" w:cs="Arial"/>
                <w:sz w:val="20"/>
                <w:szCs w:val="20"/>
              </w:rPr>
            </w:pP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Moyenne</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ET</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CV</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Range</w:t>
            </w:r>
          </w:p>
        </w:tc>
      </w:tr>
      <w:tr w:rsidR="00906321" w:rsidRPr="00906321" w:rsidTr="008646DF">
        <w:trPr>
          <w:trHeight w:val="298"/>
        </w:trPr>
        <w:tc>
          <w:tcPr>
            <w:tcW w:w="2277" w:type="dxa"/>
            <w:shd w:val="clear" w:color="auto" w:fill="E6EED5"/>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MAUL</w:t>
            </w:r>
          </w:p>
          <w:p w:rsidR="00906321" w:rsidRPr="00906321" w:rsidRDefault="00906321" w:rsidP="008646DF">
            <w:pPr>
              <w:rPr>
                <w:rFonts w:ascii="Arial" w:hAnsi="Arial" w:cs="Arial"/>
                <w:b/>
                <w:sz w:val="20"/>
                <w:szCs w:val="20"/>
                <w:u w:val="single"/>
              </w:rPr>
            </w:pP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11</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5,29</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48,09%</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7-17</w:t>
            </w:r>
          </w:p>
        </w:tc>
      </w:tr>
      <w:tr w:rsidR="00906321" w:rsidRPr="00906321" w:rsidTr="008646DF">
        <w:trPr>
          <w:trHeight w:val="298"/>
        </w:trPr>
        <w:tc>
          <w:tcPr>
            <w:tcW w:w="2277" w:type="dxa"/>
            <w:shd w:val="clear" w:color="auto" w:fill="CDDDAC"/>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DROP</w:t>
            </w:r>
          </w:p>
          <w:p w:rsidR="00906321" w:rsidRPr="00906321" w:rsidRDefault="00906321" w:rsidP="008646DF">
            <w:pPr>
              <w:rPr>
                <w:rFonts w:ascii="Arial" w:hAnsi="Arial" w:cs="Arial"/>
                <w:b/>
                <w:sz w:val="20"/>
                <w:szCs w:val="20"/>
                <w:u w:val="single"/>
              </w:rPr>
            </w:pP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94,33</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9,29</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9,85%</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88-105</w:t>
            </w:r>
          </w:p>
        </w:tc>
      </w:tr>
      <w:tr w:rsidR="00906321" w:rsidRPr="00906321" w:rsidTr="008646DF">
        <w:trPr>
          <w:trHeight w:val="298"/>
        </w:trPr>
        <w:tc>
          <w:tcPr>
            <w:tcW w:w="2277" w:type="dxa"/>
            <w:shd w:val="clear" w:color="auto" w:fill="E6EED5"/>
            <w:noWrap/>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Toutes techniques (n=9)</w:t>
            </w:r>
          </w:p>
        </w:tc>
        <w:tc>
          <w:tcPr>
            <w:tcW w:w="6416" w:type="dxa"/>
            <w:gridSpan w:val="4"/>
            <w:shd w:val="clear" w:color="auto" w:fill="E6EED5"/>
            <w:noWrap/>
            <w:hideMark/>
          </w:tcPr>
          <w:p w:rsidR="00906321" w:rsidRPr="00906321" w:rsidRDefault="00906321" w:rsidP="008646DF">
            <w:pPr>
              <w:jc w:val="center"/>
              <w:rPr>
                <w:rFonts w:ascii="Arial" w:hAnsi="Arial" w:cs="Arial"/>
                <w:color w:val="000000"/>
                <w:sz w:val="20"/>
                <w:szCs w:val="20"/>
              </w:rPr>
            </w:pPr>
            <w:r w:rsidRPr="00906321">
              <w:rPr>
                <w:rFonts w:ascii="Arial" w:hAnsi="Arial" w:cs="Arial"/>
                <w:b/>
                <w:bCs/>
                <w:color w:val="000000"/>
                <w:sz w:val="20"/>
                <w:szCs w:val="20"/>
              </w:rPr>
              <w:t>Pourcentage de fixation</w:t>
            </w:r>
          </w:p>
        </w:tc>
      </w:tr>
      <w:tr w:rsidR="00906321" w:rsidRPr="00906321" w:rsidTr="008646DF">
        <w:trPr>
          <w:trHeight w:val="298"/>
        </w:trPr>
        <w:tc>
          <w:tcPr>
            <w:tcW w:w="2277" w:type="dxa"/>
            <w:shd w:val="clear" w:color="auto" w:fill="CDDDAC"/>
            <w:noWrap/>
            <w:vAlign w:val="bottom"/>
            <w:hideMark/>
          </w:tcPr>
          <w:p w:rsidR="00906321" w:rsidRPr="00906321" w:rsidRDefault="00906321" w:rsidP="008646DF">
            <w:pPr>
              <w:rPr>
                <w:rFonts w:ascii="Arial" w:hAnsi="Arial" w:cs="Arial"/>
                <w:sz w:val="20"/>
                <w:szCs w:val="20"/>
              </w:rPr>
            </w:pP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Moyenne</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ET</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CV</w:t>
            </w:r>
          </w:p>
        </w:tc>
        <w:tc>
          <w:tcPr>
            <w:tcW w:w="1604" w:type="dxa"/>
            <w:shd w:val="clear" w:color="auto" w:fill="CDDDAC"/>
            <w:noWrap/>
            <w:vAlign w:val="bottom"/>
            <w:hideMark/>
          </w:tcPr>
          <w:p w:rsidR="00906321" w:rsidRPr="00906321" w:rsidRDefault="00906321" w:rsidP="008646DF">
            <w:pPr>
              <w:jc w:val="center"/>
              <w:rPr>
                <w:rFonts w:ascii="Arial" w:hAnsi="Arial" w:cs="Arial"/>
                <w:b/>
                <w:bCs/>
                <w:color w:val="000000"/>
                <w:sz w:val="20"/>
                <w:szCs w:val="20"/>
              </w:rPr>
            </w:pPr>
            <w:r w:rsidRPr="00906321">
              <w:rPr>
                <w:rFonts w:ascii="Arial" w:hAnsi="Arial" w:cs="Arial"/>
                <w:b/>
                <w:bCs/>
                <w:color w:val="000000"/>
                <w:sz w:val="20"/>
                <w:szCs w:val="20"/>
              </w:rPr>
              <w:t>Range</w:t>
            </w:r>
          </w:p>
        </w:tc>
      </w:tr>
      <w:tr w:rsidR="00906321" w:rsidRPr="00906321" w:rsidTr="008646DF">
        <w:trPr>
          <w:trHeight w:val="298"/>
        </w:trPr>
        <w:tc>
          <w:tcPr>
            <w:tcW w:w="2277" w:type="dxa"/>
            <w:shd w:val="clear" w:color="auto" w:fill="E6EED5"/>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MAUL</w:t>
            </w:r>
          </w:p>
          <w:p w:rsidR="00906321" w:rsidRPr="00906321" w:rsidRDefault="00906321" w:rsidP="008646DF">
            <w:pPr>
              <w:rPr>
                <w:rFonts w:ascii="Arial" w:hAnsi="Arial" w:cs="Arial"/>
                <w:b/>
                <w:sz w:val="20"/>
                <w:szCs w:val="20"/>
                <w:u w:val="single"/>
              </w:rPr>
            </w:pP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11,83</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3,61</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30,52</w:t>
            </w:r>
          </w:p>
        </w:tc>
        <w:tc>
          <w:tcPr>
            <w:tcW w:w="1604" w:type="dxa"/>
            <w:shd w:val="clear" w:color="auto" w:fill="E6EED5"/>
            <w:noWrap/>
          </w:tcPr>
          <w:p w:rsidR="00906321" w:rsidRPr="00906321" w:rsidRDefault="00906321" w:rsidP="008646DF">
            <w:pPr>
              <w:jc w:val="center"/>
              <w:rPr>
                <w:rFonts w:ascii="Arial" w:hAnsi="Arial" w:cs="Arial"/>
                <w:sz w:val="20"/>
                <w:szCs w:val="20"/>
              </w:rPr>
            </w:pPr>
            <w:r w:rsidRPr="00906321">
              <w:rPr>
                <w:rFonts w:ascii="Arial" w:hAnsi="Arial" w:cs="Arial"/>
                <w:sz w:val="20"/>
                <w:szCs w:val="20"/>
              </w:rPr>
              <w:t>7-18</w:t>
            </w:r>
          </w:p>
        </w:tc>
      </w:tr>
      <w:tr w:rsidR="00906321" w:rsidRPr="00906321" w:rsidTr="008646DF">
        <w:trPr>
          <w:trHeight w:val="298"/>
        </w:trPr>
        <w:tc>
          <w:tcPr>
            <w:tcW w:w="2277" w:type="dxa"/>
            <w:shd w:val="clear" w:color="auto" w:fill="CDDDAC"/>
            <w:noWrap/>
            <w:hideMark/>
          </w:tcPr>
          <w:p w:rsidR="00906321" w:rsidRPr="00906321" w:rsidRDefault="00906321" w:rsidP="008646DF">
            <w:pPr>
              <w:rPr>
                <w:rFonts w:ascii="Arial" w:hAnsi="Arial" w:cs="Arial"/>
                <w:color w:val="000000"/>
                <w:sz w:val="20"/>
                <w:szCs w:val="20"/>
              </w:rPr>
            </w:pPr>
            <w:r w:rsidRPr="00906321">
              <w:rPr>
                <w:rFonts w:ascii="Arial" w:hAnsi="Arial" w:cs="Arial"/>
                <w:color w:val="000000"/>
                <w:sz w:val="20"/>
                <w:szCs w:val="20"/>
              </w:rPr>
              <w:t>DROP</w:t>
            </w:r>
          </w:p>
          <w:p w:rsidR="00906321" w:rsidRPr="00906321" w:rsidRDefault="00906321" w:rsidP="008646DF">
            <w:pPr>
              <w:rPr>
                <w:rFonts w:ascii="Arial" w:hAnsi="Arial" w:cs="Arial"/>
                <w:b/>
                <w:sz w:val="20"/>
                <w:szCs w:val="20"/>
                <w:u w:val="single"/>
              </w:rPr>
            </w:pP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71,05</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17,44</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24,55</w:t>
            </w:r>
          </w:p>
        </w:tc>
        <w:tc>
          <w:tcPr>
            <w:tcW w:w="1604" w:type="dxa"/>
            <w:shd w:val="clear" w:color="auto" w:fill="CDDDAC"/>
            <w:noWrap/>
            <w:hideMark/>
          </w:tcPr>
          <w:p w:rsidR="00906321" w:rsidRPr="00906321" w:rsidRDefault="00906321" w:rsidP="008646DF">
            <w:pPr>
              <w:jc w:val="center"/>
              <w:rPr>
                <w:rFonts w:ascii="Arial" w:hAnsi="Arial" w:cs="Arial"/>
                <w:sz w:val="20"/>
                <w:szCs w:val="20"/>
              </w:rPr>
            </w:pPr>
            <w:r w:rsidRPr="00906321">
              <w:rPr>
                <w:rFonts w:ascii="Arial" w:hAnsi="Arial" w:cs="Arial"/>
                <w:sz w:val="20"/>
                <w:szCs w:val="20"/>
              </w:rPr>
              <w:t>53-105</w:t>
            </w:r>
          </w:p>
        </w:tc>
      </w:tr>
    </w:tbl>
    <w:p w:rsidR="00BB7FD0" w:rsidRDefault="00906321" w:rsidP="00906321">
      <w:pPr>
        <w:rPr>
          <w:rFonts w:ascii="Arial" w:hAnsi="Arial" w:cs="Arial"/>
          <w:b/>
        </w:rPr>
      </w:pPr>
      <w:r w:rsidRPr="00906321">
        <w:rPr>
          <w:rFonts w:ascii="Arial" w:hAnsi="Arial" w:cs="Arial"/>
          <w:noProof/>
        </w:rPr>
        <w:lastRenderedPageBreak/>
        <w:drawing>
          <wp:inline distT="0" distB="0" distL="0" distR="0" wp14:anchorId="6A5AD514" wp14:editId="39AD408D">
            <wp:extent cx="6170128" cy="2552700"/>
            <wp:effectExtent l="0" t="0" r="254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74715" cy="2554598"/>
                    </a:xfrm>
                    <a:prstGeom prst="rect">
                      <a:avLst/>
                    </a:prstGeom>
                    <a:noFill/>
                    <a:ln>
                      <a:noFill/>
                    </a:ln>
                  </pic:spPr>
                </pic:pic>
              </a:graphicData>
            </a:graphic>
          </wp:inline>
        </w:drawing>
      </w:r>
      <w:r w:rsidRPr="00906321">
        <w:rPr>
          <w:rFonts w:ascii="Arial" w:hAnsi="Arial" w:cs="Arial"/>
          <w:b/>
        </w:rPr>
        <w:t xml:space="preserve"> </w:t>
      </w:r>
    </w:p>
    <w:p w:rsidR="00BB7FD0" w:rsidRDefault="00BB7FD0" w:rsidP="00906321">
      <w:pPr>
        <w:rPr>
          <w:rFonts w:ascii="Arial" w:hAnsi="Arial" w:cs="Arial"/>
          <w:b/>
        </w:rPr>
      </w:pPr>
    </w:p>
    <w:p w:rsidR="00906321" w:rsidRPr="00906321" w:rsidRDefault="00906321" w:rsidP="00906321">
      <w:pPr>
        <w:rPr>
          <w:rFonts w:ascii="Arial" w:hAnsi="Arial" w:cs="Arial"/>
          <w:b/>
        </w:rPr>
      </w:pPr>
      <w:r w:rsidRPr="00906321">
        <w:rPr>
          <w:rFonts w:ascii="Arial" w:hAnsi="Arial" w:cs="Arial"/>
          <w:u w:val="single"/>
        </w:rPr>
        <w:t>Interprétation</w:t>
      </w:r>
    </w:p>
    <w:p w:rsidR="00906321" w:rsidRPr="00906321" w:rsidRDefault="00906321" w:rsidP="000B6A36">
      <w:pPr>
        <w:jc w:val="both"/>
        <w:rPr>
          <w:rFonts w:ascii="Arial" w:hAnsi="Arial" w:cs="Arial"/>
        </w:rPr>
      </w:pPr>
      <w:r w:rsidRPr="00906321">
        <w:rPr>
          <w:rFonts w:ascii="Arial" w:hAnsi="Arial" w:cs="Arial"/>
        </w:rPr>
        <w:t xml:space="preserve">Concernant l’échantillon DROP, les trois laboratoires utilisant la méthode « home-made » ont rendu </w:t>
      </w:r>
      <w:r w:rsidR="00BB7FD0">
        <w:rPr>
          <w:rFonts w:ascii="Arial" w:hAnsi="Arial" w:cs="Arial"/>
        </w:rPr>
        <w:t>la réponse attendue « normale »</w:t>
      </w:r>
      <w:r w:rsidRPr="00906321">
        <w:rPr>
          <w:rFonts w:ascii="Arial" w:hAnsi="Arial" w:cs="Arial"/>
        </w:rPr>
        <w:t xml:space="preserve"> alors que 6 des 8 laboratoires utilisant la technique Asserachrom ont rendu « modérément diminuée » ce qui conduit à un diagnostic erroné.</w:t>
      </w:r>
    </w:p>
    <w:p w:rsidR="00906321" w:rsidRPr="00906321" w:rsidRDefault="00906321" w:rsidP="000B6A36">
      <w:pPr>
        <w:jc w:val="both"/>
        <w:rPr>
          <w:rFonts w:ascii="Arial" w:hAnsi="Arial" w:cs="Arial"/>
        </w:rPr>
      </w:pPr>
      <w:r w:rsidRPr="00906321">
        <w:rPr>
          <w:rFonts w:ascii="Arial" w:hAnsi="Arial" w:cs="Arial"/>
        </w:rPr>
        <w:t>Ceci est probablement en lien avec le taux de Willebrand antigène fourni par le laboratoire ayant préparé les échantillons</w:t>
      </w:r>
      <w:r w:rsidR="00BB7FD0">
        <w:rPr>
          <w:rFonts w:ascii="Arial" w:hAnsi="Arial" w:cs="Arial"/>
        </w:rPr>
        <w:t xml:space="preserve"> (réponse du laboratoire 4)</w:t>
      </w:r>
      <w:r w:rsidRPr="00906321">
        <w:rPr>
          <w:rFonts w:ascii="Arial" w:hAnsi="Arial" w:cs="Arial"/>
        </w:rPr>
        <w:t>.</w:t>
      </w:r>
    </w:p>
    <w:p w:rsidR="00906321" w:rsidRPr="00906321" w:rsidRDefault="00906321" w:rsidP="000B6A36">
      <w:pPr>
        <w:jc w:val="both"/>
        <w:rPr>
          <w:rFonts w:ascii="Arial" w:hAnsi="Arial" w:cs="Arial"/>
        </w:rPr>
      </w:pPr>
      <w:r w:rsidRPr="00906321">
        <w:rPr>
          <w:rFonts w:ascii="Arial" w:hAnsi="Arial" w:cs="Arial"/>
        </w:rPr>
        <w:t>La technique « home-made » ut</w:t>
      </w:r>
      <w:r w:rsidR="00BB7FD0">
        <w:rPr>
          <w:rFonts w:ascii="Arial" w:hAnsi="Arial" w:cs="Arial"/>
        </w:rPr>
        <w:t>i</w:t>
      </w:r>
      <w:r w:rsidRPr="00906321">
        <w:rPr>
          <w:rFonts w:ascii="Arial" w:hAnsi="Arial" w:cs="Arial"/>
        </w:rPr>
        <w:t>lise plusieurs points de dilution alors que la technique Asserachrom est en point final. Cette dernière peut donc être mise en défaut en cas de mauvaise dilution initiale liée à un taux de Willebrand antigène erroné.</w:t>
      </w:r>
    </w:p>
    <w:p w:rsidR="00906321" w:rsidRPr="00906321" w:rsidRDefault="00906321" w:rsidP="000B6A36">
      <w:pPr>
        <w:jc w:val="both"/>
        <w:rPr>
          <w:rFonts w:ascii="Arial" w:hAnsi="Arial" w:cs="Arial"/>
        </w:rPr>
      </w:pPr>
      <w:r w:rsidRPr="00906321">
        <w:rPr>
          <w:rFonts w:ascii="Arial" w:hAnsi="Arial" w:cs="Arial"/>
        </w:rPr>
        <w:t>A noter que le laboratoire 9 a rendu « normale » pour un pourcentage de fixation à 65%.</w:t>
      </w:r>
    </w:p>
    <w:p w:rsidR="00BB7FD0" w:rsidRDefault="00BB7FD0" w:rsidP="00906321">
      <w:pPr>
        <w:rPr>
          <w:rFonts w:ascii="Arial" w:hAnsi="Arial" w:cs="Arial"/>
          <w:u w:val="single"/>
        </w:rPr>
      </w:pPr>
    </w:p>
    <w:p w:rsidR="00906321" w:rsidRPr="00906321" w:rsidRDefault="00906321" w:rsidP="00906321">
      <w:pPr>
        <w:rPr>
          <w:rFonts w:ascii="Arial" w:hAnsi="Arial" w:cs="Arial"/>
          <w:u w:val="single"/>
        </w:rPr>
      </w:pPr>
      <w:r w:rsidRPr="00906321">
        <w:rPr>
          <w:rFonts w:ascii="Arial" w:hAnsi="Arial" w:cs="Arial"/>
          <w:u w:val="single"/>
        </w:rPr>
        <w:t>Diagnostic</w:t>
      </w:r>
    </w:p>
    <w:p w:rsidR="00906321" w:rsidRPr="00906321" w:rsidRDefault="00906321" w:rsidP="00906321">
      <w:pPr>
        <w:rPr>
          <w:rFonts w:ascii="Arial" w:hAnsi="Arial" w:cs="Arial"/>
        </w:rPr>
      </w:pPr>
      <w:r w:rsidRPr="00906321">
        <w:rPr>
          <w:rFonts w:ascii="Arial" w:hAnsi="Arial" w:cs="Arial"/>
        </w:rPr>
        <w:t>Même remarque que pour l’interprétation.</w:t>
      </w:r>
    </w:p>
    <w:p w:rsidR="00BB7FD0" w:rsidRDefault="00BB7FD0" w:rsidP="00906321">
      <w:pPr>
        <w:rPr>
          <w:rFonts w:ascii="Arial" w:hAnsi="Arial" w:cs="Arial"/>
          <w:u w:val="single"/>
        </w:rPr>
      </w:pPr>
    </w:p>
    <w:p w:rsidR="00906321" w:rsidRPr="00906321" w:rsidRDefault="00906321" w:rsidP="00906321">
      <w:pPr>
        <w:rPr>
          <w:rFonts w:ascii="Arial" w:hAnsi="Arial" w:cs="Arial"/>
          <w:u w:val="single"/>
        </w:rPr>
      </w:pPr>
      <w:r w:rsidRPr="00906321">
        <w:rPr>
          <w:rFonts w:ascii="Arial" w:hAnsi="Arial" w:cs="Arial"/>
          <w:u w:val="single"/>
        </w:rPr>
        <w:t>CONCLUSION</w:t>
      </w:r>
    </w:p>
    <w:p w:rsidR="00AF1170" w:rsidRPr="00AF1170" w:rsidRDefault="00906321" w:rsidP="00906321">
      <w:pPr>
        <w:rPr>
          <w:color w:val="000000"/>
        </w:rPr>
      </w:pPr>
      <w:r w:rsidRPr="00906321">
        <w:rPr>
          <w:rFonts w:ascii="Arial" w:hAnsi="Arial" w:cs="Arial"/>
        </w:rPr>
        <w:t>Il est impér</w:t>
      </w:r>
      <w:r w:rsidR="00457ED1">
        <w:rPr>
          <w:rFonts w:ascii="Arial" w:hAnsi="Arial" w:cs="Arial"/>
        </w:rPr>
        <w:t>atif de vérifier le taux de VWF</w:t>
      </w:r>
      <w:r w:rsidRPr="00906321">
        <w:rPr>
          <w:rFonts w:ascii="Arial" w:hAnsi="Arial" w:cs="Arial"/>
        </w:rPr>
        <w:t>:Ag avant de réaliser la technique Asserachrom</w:t>
      </w:r>
      <w:r>
        <w:rPr>
          <w:rFonts w:ascii="Arial" w:hAnsi="Arial" w:cs="Arial"/>
        </w:rPr>
        <w:t>®</w:t>
      </w:r>
      <w:r w:rsidRPr="00906321">
        <w:rPr>
          <w:rFonts w:ascii="Arial" w:hAnsi="Arial" w:cs="Arial"/>
        </w:rPr>
        <w:t xml:space="preserve"> VWF : FVIIIB Stago</w:t>
      </w:r>
      <w:r>
        <w:rPr>
          <w:rFonts w:ascii="Arial" w:hAnsi="Arial" w:cs="Arial"/>
        </w:rPr>
        <w:t>.</w:t>
      </w:r>
    </w:p>
    <w:p w:rsidR="005E5890" w:rsidRDefault="005E5890" w:rsidP="00D602A9">
      <w:pPr>
        <w:pStyle w:val="NormalWeb"/>
        <w:shd w:val="clear" w:color="auto" w:fill="FFFFFF"/>
        <w:spacing w:before="0" w:beforeAutospacing="0" w:after="0" w:afterAutospacing="0"/>
        <w:jc w:val="both"/>
        <w:rPr>
          <w:rFonts w:ascii="Arial" w:hAnsi="Arial" w:cs="Arial"/>
          <w:b/>
          <w:color w:val="FF0000"/>
        </w:rPr>
      </w:pPr>
    </w:p>
    <w:p w:rsidR="00736916" w:rsidRDefault="00736916" w:rsidP="00736916">
      <w:pPr>
        <w:pStyle w:val="Paragraphedeliste"/>
        <w:numPr>
          <w:ilvl w:val="1"/>
          <w:numId w:val="23"/>
        </w:numPr>
        <w:spacing w:after="160" w:line="259" w:lineRule="auto"/>
        <w:contextualSpacing/>
        <w:jc w:val="both"/>
        <w:rPr>
          <w:rFonts w:ascii="Arial" w:hAnsi="Arial" w:cs="Arial"/>
          <w:b/>
          <w:color w:val="000000"/>
          <w:shd w:val="clear" w:color="auto" w:fill="FFFFFF"/>
        </w:rPr>
      </w:pPr>
      <w:r>
        <w:rPr>
          <w:rFonts w:ascii="Arial" w:hAnsi="Arial" w:cs="Arial"/>
          <w:b/>
          <w:color w:val="000000"/>
          <w:shd w:val="clear" w:color="auto" w:fill="FFFFFF"/>
        </w:rPr>
        <w:t xml:space="preserve"> Limite de quantification </w:t>
      </w:r>
      <w:r w:rsidR="000C0E53">
        <w:rPr>
          <w:rFonts w:ascii="Arial" w:hAnsi="Arial" w:cs="Arial"/>
          <w:b/>
          <w:color w:val="000000"/>
          <w:shd w:val="clear" w:color="auto" w:fill="FFFFFF"/>
        </w:rPr>
        <w:t xml:space="preserve">basse </w:t>
      </w:r>
      <w:r>
        <w:rPr>
          <w:rFonts w:ascii="Arial" w:hAnsi="Arial" w:cs="Arial"/>
          <w:b/>
          <w:color w:val="000000"/>
          <w:shd w:val="clear" w:color="auto" w:fill="FFFFFF"/>
        </w:rPr>
        <w:t>FVIII : CSA</w:t>
      </w:r>
      <w:r w:rsidR="003975AB">
        <w:rPr>
          <w:rFonts w:ascii="Arial" w:hAnsi="Arial" w:cs="Arial"/>
          <w:b/>
          <w:color w:val="000000"/>
          <w:shd w:val="clear" w:color="auto" w:fill="FFFFFF"/>
        </w:rPr>
        <w:t xml:space="preserve"> </w:t>
      </w:r>
      <w:r w:rsidR="000C0E53">
        <w:rPr>
          <w:rFonts w:ascii="Arial" w:hAnsi="Arial" w:cs="Arial"/>
          <w:b/>
          <w:color w:val="000000"/>
          <w:shd w:val="clear" w:color="auto" w:fill="FFFFFF"/>
        </w:rPr>
        <w:t xml:space="preserve">- </w:t>
      </w:r>
      <w:r w:rsidR="003975AB">
        <w:rPr>
          <w:rFonts w:ascii="Arial" w:hAnsi="Arial" w:cs="Arial"/>
          <w:b/>
          <w:color w:val="000000"/>
          <w:shd w:val="clear" w:color="auto" w:fill="FFFFFF"/>
        </w:rPr>
        <w:t>Conclusion finale</w:t>
      </w:r>
      <w:r w:rsidR="007A0158">
        <w:rPr>
          <w:rFonts w:ascii="Arial" w:hAnsi="Arial" w:cs="Arial"/>
          <w:b/>
          <w:color w:val="000000"/>
          <w:shd w:val="clear" w:color="auto" w:fill="FFFFFF"/>
        </w:rPr>
        <w:t xml:space="preserve"> : </w:t>
      </w:r>
      <w:r w:rsidR="007A0158" w:rsidRPr="00D602A9">
        <w:rPr>
          <w:rFonts w:ascii="Arial" w:hAnsi="Arial" w:cs="Arial"/>
          <w:color w:val="0000FF"/>
          <w:shd w:val="clear" w:color="auto" w:fill="FFFFFF"/>
        </w:rPr>
        <w:t>E.Jeanpierre</w:t>
      </w:r>
      <w:r w:rsidR="007A0158">
        <w:rPr>
          <w:rFonts w:ascii="Arial" w:hAnsi="Arial" w:cs="Arial"/>
          <w:color w:val="0000FF"/>
          <w:shd w:val="clear" w:color="auto" w:fill="FFFFFF"/>
        </w:rPr>
        <w:t>, D. Lasne, C. Flaujac, EA Guéry</w:t>
      </w:r>
    </w:p>
    <w:p w:rsidR="00A319DF" w:rsidRDefault="000B6A36" w:rsidP="000B6A36">
      <w:pPr>
        <w:jc w:val="both"/>
        <w:rPr>
          <w:rFonts w:ascii="Arial" w:hAnsi="Arial" w:cs="Arial"/>
        </w:rPr>
      </w:pPr>
      <w:r>
        <w:rPr>
          <w:rFonts w:ascii="Arial" w:hAnsi="Arial" w:cs="Arial"/>
        </w:rPr>
        <w:t>L</w:t>
      </w:r>
      <w:r w:rsidR="00A319DF" w:rsidRPr="00A319DF">
        <w:rPr>
          <w:rFonts w:ascii="Arial" w:hAnsi="Arial" w:cs="Arial"/>
        </w:rPr>
        <w:t>ors des réunions précédentes, les résultats de détermination de LLoQ du dosage de FVIII avec 5 trousses chromogéniques différentes ont été présentés : Biophen® FVIII:C (Hyphen Biomed),Biophen FVIII variant®, FVIII chromogenic  assay®(Siemens), Coamatic® FVIII (Chromogenix) et TriniCHROM® FVIII :C (Tcoag)</w:t>
      </w:r>
      <w:r w:rsidR="00A319DF">
        <w:rPr>
          <w:rFonts w:ascii="Arial" w:hAnsi="Arial" w:cs="Arial"/>
        </w:rPr>
        <w:t xml:space="preserve">. </w:t>
      </w:r>
    </w:p>
    <w:p w:rsidR="00A319DF" w:rsidRPr="00A319DF" w:rsidRDefault="00A319DF" w:rsidP="000B6A36">
      <w:pPr>
        <w:jc w:val="both"/>
        <w:rPr>
          <w:rFonts w:ascii="Arial" w:hAnsi="Arial" w:cs="Arial"/>
        </w:rPr>
      </w:pPr>
      <w:r w:rsidRPr="00A319DF">
        <w:rPr>
          <w:rFonts w:ascii="Arial" w:hAnsi="Arial" w:cs="Arial"/>
        </w:rPr>
        <w:t xml:space="preserve">Pour rappel le protocole </w:t>
      </w:r>
      <w:r>
        <w:rPr>
          <w:rFonts w:ascii="Arial" w:hAnsi="Arial" w:cs="Arial"/>
        </w:rPr>
        <w:t>réalisé était</w:t>
      </w:r>
      <w:r w:rsidRPr="00A319DF">
        <w:rPr>
          <w:rFonts w:ascii="Arial" w:hAnsi="Arial" w:cs="Arial"/>
        </w:rPr>
        <w:t xml:space="preserve"> le suivant : </w:t>
      </w:r>
    </w:p>
    <w:p w:rsidR="00A319DF" w:rsidRDefault="00A319DF" w:rsidP="000B6A36">
      <w:pPr>
        <w:jc w:val="both"/>
        <w:rPr>
          <w:rFonts w:ascii="Arial" w:hAnsi="Arial" w:cs="Arial"/>
        </w:rPr>
      </w:pPr>
      <w:r w:rsidRPr="00A319DF">
        <w:rPr>
          <w:rFonts w:ascii="Arial" w:hAnsi="Arial" w:cs="Arial"/>
        </w:rPr>
        <w:t xml:space="preserve">Après détermination du taux de FVIII:C dans le CRYOCheck®, 10 dilutions </w:t>
      </w:r>
      <w:r>
        <w:rPr>
          <w:rFonts w:ascii="Arial" w:hAnsi="Arial" w:cs="Arial"/>
        </w:rPr>
        <w:t>ont</w:t>
      </w:r>
      <w:r w:rsidRPr="00A319DF">
        <w:rPr>
          <w:rFonts w:ascii="Arial" w:hAnsi="Arial" w:cs="Arial"/>
        </w:rPr>
        <w:t xml:space="preserve"> été réalisées dans un plasma déficient en FVIII </w:t>
      </w:r>
      <w:r>
        <w:rPr>
          <w:rFonts w:ascii="Arial" w:hAnsi="Arial" w:cs="Arial"/>
        </w:rPr>
        <w:t xml:space="preserve">(partie 1) ou dans </w:t>
      </w:r>
      <w:r w:rsidR="000B6A36">
        <w:rPr>
          <w:rFonts w:ascii="Arial" w:hAnsi="Arial" w:cs="Arial"/>
        </w:rPr>
        <w:t>le</w:t>
      </w:r>
      <w:r>
        <w:rPr>
          <w:rFonts w:ascii="Arial" w:hAnsi="Arial" w:cs="Arial"/>
        </w:rPr>
        <w:t xml:space="preserve"> diluant échantillon (partie 2) </w:t>
      </w:r>
      <w:r w:rsidRPr="00A319DF">
        <w:rPr>
          <w:rFonts w:ascii="Arial" w:hAnsi="Arial" w:cs="Arial"/>
        </w:rPr>
        <w:t xml:space="preserve">pour couvrir un domaine de mesure de 0 à 30 UI/dL. </w:t>
      </w:r>
    </w:p>
    <w:p w:rsidR="00A319DF" w:rsidRPr="00A319DF" w:rsidRDefault="00A319DF" w:rsidP="000B6A36">
      <w:pPr>
        <w:jc w:val="both"/>
        <w:rPr>
          <w:rFonts w:ascii="Arial" w:hAnsi="Arial" w:cs="Arial"/>
        </w:rPr>
      </w:pPr>
      <w:r w:rsidRPr="00A319DF">
        <w:rPr>
          <w:rFonts w:ascii="Arial" w:hAnsi="Arial" w:cs="Arial"/>
        </w:rPr>
        <w:t xml:space="preserve">Chaque </w:t>
      </w:r>
      <w:r>
        <w:rPr>
          <w:rFonts w:ascii="Arial" w:hAnsi="Arial" w:cs="Arial"/>
        </w:rPr>
        <w:t xml:space="preserve">dilution a été </w:t>
      </w:r>
      <w:r w:rsidRPr="00A319DF">
        <w:rPr>
          <w:rFonts w:ascii="Arial" w:hAnsi="Arial" w:cs="Arial"/>
        </w:rPr>
        <w:t>mesuré</w:t>
      </w:r>
      <w:r>
        <w:rPr>
          <w:rFonts w:ascii="Arial" w:hAnsi="Arial" w:cs="Arial"/>
        </w:rPr>
        <w:t>e</w:t>
      </w:r>
      <w:r w:rsidRPr="00A319DF">
        <w:rPr>
          <w:rFonts w:ascii="Arial" w:hAnsi="Arial" w:cs="Arial"/>
        </w:rPr>
        <w:t xml:space="preserve"> 5 fois pour les taux théoriques &lt;5 UI/dL et au moins 3 fois pour les taux &gt;5 UI/dL, permettant le calcul d’un coefficient de variation (CV) et le calcul de l’écart à la valeur cible ((moyenne-valeur cible)/(moyenne+valeur cible)/2)*100).</w:t>
      </w:r>
    </w:p>
    <w:p w:rsidR="00A319DF" w:rsidRPr="00A319DF" w:rsidRDefault="00A319DF" w:rsidP="000B6A36">
      <w:pPr>
        <w:jc w:val="both"/>
        <w:rPr>
          <w:rFonts w:ascii="Arial" w:hAnsi="Arial" w:cs="Arial"/>
        </w:rPr>
      </w:pPr>
      <w:r w:rsidRPr="00A319DF">
        <w:rPr>
          <w:rFonts w:ascii="Arial" w:hAnsi="Arial" w:cs="Arial"/>
        </w:rPr>
        <w:lastRenderedPageBreak/>
        <w:t>La LL</w:t>
      </w:r>
      <w:r>
        <w:rPr>
          <w:rFonts w:ascii="Arial" w:hAnsi="Arial" w:cs="Arial"/>
        </w:rPr>
        <w:t>o</w:t>
      </w:r>
      <w:r w:rsidRPr="00A319DF">
        <w:rPr>
          <w:rFonts w:ascii="Arial" w:hAnsi="Arial" w:cs="Arial"/>
        </w:rPr>
        <w:t xml:space="preserve">Q </w:t>
      </w:r>
      <w:r>
        <w:rPr>
          <w:rFonts w:ascii="Arial" w:hAnsi="Arial" w:cs="Arial"/>
        </w:rPr>
        <w:t>était définie</w:t>
      </w:r>
      <w:r w:rsidRPr="00A319DF">
        <w:rPr>
          <w:rFonts w:ascii="Arial" w:hAnsi="Arial" w:cs="Arial"/>
        </w:rPr>
        <w:t xml:space="preserve"> comme la plus petite concentration avec un écart à la valeur cible ≤ 10% et un CV≤ 10%. Pour une valeur cible &lt;1UI/dL, nous avons retenu la capacité du test à distinguer un taux de FVIII :C &lt; ou &gt;1UI/dL, sans exigence sur le CV.</w:t>
      </w:r>
    </w:p>
    <w:p w:rsidR="002C2283" w:rsidRPr="002C2283" w:rsidRDefault="000B6A36" w:rsidP="000B6A36">
      <w:pPr>
        <w:jc w:val="both"/>
        <w:rPr>
          <w:rFonts w:ascii="Arial" w:hAnsi="Arial" w:cs="Arial"/>
        </w:rPr>
      </w:pPr>
      <w:r w:rsidRPr="000B6A36">
        <w:rPr>
          <w:rFonts w:ascii="Arial" w:hAnsi="Arial" w:cs="Arial"/>
          <w:noProof/>
        </w:rPr>
        <w:drawing>
          <wp:anchor distT="0" distB="0" distL="114300" distR="114300" simplePos="0" relativeHeight="251661312" behindDoc="1" locked="0" layoutInCell="1" allowOverlap="1" wp14:anchorId="5067C722">
            <wp:simplePos x="0" y="0"/>
            <wp:positionH relativeFrom="margin">
              <wp:posOffset>239395</wp:posOffset>
            </wp:positionH>
            <wp:positionV relativeFrom="paragraph">
              <wp:posOffset>307340</wp:posOffset>
            </wp:positionV>
            <wp:extent cx="5373370" cy="2875280"/>
            <wp:effectExtent l="0" t="0" r="0" b="1270"/>
            <wp:wrapTight wrapText="bothSides">
              <wp:wrapPolygon edited="0">
                <wp:start x="0" y="0"/>
                <wp:lineTo x="0" y="21466"/>
                <wp:lineTo x="21518" y="21466"/>
                <wp:lineTo x="21518"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3370" cy="2875280"/>
                    </a:xfrm>
                    <a:prstGeom prst="rect">
                      <a:avLst/>
                    </a:prstGeom>
                    <a:noFill/>
                  </pic:spPr>
                </pic:pic>
              </a:graphicData>
            </a:graphic>
            <wp14:sizeRelH relativeFrom="margin">
              <wp14:pctWidth>0</wp14:pctWidth>
            </wp14:sizeRelH>
            <wp14:sizeRelV relativeFrom="margin">
              <wp14:pctHeight>0</wp14:pctHeight>
            </wp14:sizeRelV>
          </wp:anchor>
        </w:drawing>
      </w:r>
      <w:r w:rsidR="002C2283" w:rsidRPr="002C2283">
        <w:rPr>
          <w:rFonts w:ascii="Arial" w:hAnsi="Arial" w:cs="Arial"/>
        </w:rPr>
        <w:t>Le tableau ci-dessous récapitule les résultats de l’ensemble de l’étude.</w:t>
      </w:r>
    </w:p>
    <w:p w:rsidR="002C2283" w:rsidRPr="00E01F9C" w:rsidRDefault="00D77BA4" w:rsidP="00E01F9C">
      <w:pPr>
        <w:jc w:val="both"/>
        <w:rPr>
          <w:rFonts w:ascii="Arial" w:hAnsi="Arial" w:cs="Arial"/>
        </w:rPr>
      </w:pPr>
      <w:r w:rsidRPr="00E01F9C">
        <w:rPr>
          <w:rFonts w:ascii="Arial" w:hAnsi="Arial" w:cs="Arial"/>
        </w:rPr>
        <w:t>P</w:t>
      </w:r>
      <w:r w:rsidR="002C2283" w:rsidRPr="00E01F9C">
        <w:rPr>
          <w:rFonts w:ascii="Arial" w:hAnsi="Arial" w:cs="Arial"/>
        </w:rPr>
        <w:t>our le réactif Biophen FVIII :C d’origine humaine, des LL</w:t>
      </w:r>
      <w:r w:rsidR="000B6A36" w:rsidRPr="00E01F9C">
        <w:rPr>
          <w:rFonts w:ascii="Arial" w:hAnsi="Arial" w:cs="Arial"/>
        </w:rPr>
        <w:t>o</w:t>
      </w:r>
      <w:r w:rsidR="002C2283" w:rsidRPr="00E01F9C">
        <w:rPr>
          <w:rFonts w:ascii="Arial" w:hAnsi="Arial" w:cs="Arial"/>
        </w:rPr>
        <w:t>Qs plus élevées</w:t>
      </w:r>
      <w:r w:rsidR="000B6A36" w:rsidRPr="00E01F9C">
        <w:rPr>
          <w:rFonts w:ascii="Arial" w:hAnsi="Arial" w:cs="Arial"/>
        </w:rPr>
        <w:t xml:space="preserve"> ont été évoquées lors de la réunion précédente</w:t>
      </w:r>
      <w:r w:rsidR="002C2283" w:rsidRPr="00E01F9C">
        <w:rPr>
          <w:rFonts w:ascii="Arial" w:hAnsi="Arial" w:cs="Arial"/>
        </w:rPr>
        <w:t xml:space="preserve"> dans 5/6 centres lorsque les dilutions du CRYOCheck </w:t>
      </w:r>
      <w:r w:rsidR="000B6A36" w:rsidRPr="00E01F9C">
        <w:rPr>
          <w:rFonts w:ascii="Arial" w:hAnsi="Arial" w:cs="Arial"/>
        </w:rPr>
        <w:t xml:space="preserve">ont été </w:t>
      </w:r>
      <w:r w:rsidR="002C2283" w:rsidRPr="00E01F9C">
        <w:rPr>
          <w:rFonts w:ascii="Arial" w:hAnsi="Arial" w:cs="Arial"/>
        </w:rPr>
        <w:t>réalisé</w:t>
      </w:r>
      <w:r w:rsidR="000B6A36" w:rsidRPr="00E01F9C">
        <w:rPr>
          <w:rFonts w:ascii="Arial" w:hAnsi="Arial" w:cs="Arial"/>
        </w:rPr>
        <w:t>e</w:t>
      </w:r>
      <w:r w:rsidR="002C2283" w:rsidRPr="00E01F9C">
        <w:rPr>
          <w:rFonts w:ascii="Arial" w:hAnsi="Arial" w:cs="Arial"/>
        </w:rPr>
        <w:t>s en tampon échantillon avec des résultats systématiquement &gt;1%. La LL</w:t>
      </w:r>
      <w:r w:rsidR="000B6A36" w:rsidRPr="00E01F9C">
        <w:rPr>
          <w:rFonts w:ascii="Arial" w:hAnsi="Arial" w:cs="Arial"/>
        </w:rPr>
        <w:t>o</w:t>
      </w:r>
      <w:r w:rsidR="002C2283" w:rsidRPr="00E01F9C">
        <w:rPr>
          <w:rFonts w:ascii="Arial" w:hAnsi="Arial" w:cs="Arial"/>
        </w:rPr>
        <w:t>Q mesurée à 2,7% sur ACL TOP (résultat en orange), et similaire peu importe le diluant utilisé</w:t>
      </w:r>
      <w:r w:rsidR="000B6A36" w:rsidRPr="00E01F9C">
        <w:rPr>
          <w:rFonts w:ascii="Arial" w:hAnsi="Arial" w:cs="Arial"/>
        </w:rPr>
        <w:t>,</w:t>
      </w:r>
      <w:r w:rsidR="002C2283" w:rsidRPr="00E01F9C">
        <w:rPr>
          <w:rFonts w:ascii="Arial" w:hAnsi="Arial" w:cs="Arial"/>
        </w:rPr>
        <w:t xml:space="preserve"> a été vérifiée à l’aide d’un autre déficient. Ce centre a réalisé une nouvelle fois le protocole en utilisant du déficient Siemens pour les dilutions du CRYOCheck® et obtient cette fois-ci une LLoQ à 0.7% (résultats encadrés en rouge). </w:t>
      </w:r>
    </w:p>
    <w:p w:rsidR="000B6A36" w:rsidRPr="005A75CB" w:rsidRDefault="000B6A36" w:rsidP="000B6A36">
      <w:pPr>
        <w:pStyle w:val="Paragraphedeliste"/>
        <w:ind w:left="720"/>
        <w:jc w:val="both"/>
        <w:rPr>
          <w:rFonts w:ascii="Arial" w:hAnsi="Arial" w:cs="Arial"/>
          <w:sz w:val="8"/>
        </w:rPr>
      </w:pPr>
    </w:p>
    <w:p w:rsidR="002C2283" w:rsidRPr="00E01F9C" w:rsidRDefault="002C2283" w:rsidP="00E01F9C">
      <w:pPr>
        <w:jc w:val="both"/>
        <w:rPr>
          <w:rFonts w:ascii="Arial" w:hAnsi="Arial" w:cs="Arial"/>
        </w:rPr>
      </w:pPr>
      <w:r w:rsidRPr="00E01F9C">
        <w:rPr>
          <w:rFonts w:ascii="Arial" w:hAnsi="Arial" w:cs="Arial"/>
        </w:rPr>
        <w:t xml:space="preserve">Avec les réactifs d’origine bovine (FVIII chromogenic assay®, Coamatic® FVIII,Trinichrom®) ou d’origine humaine/bovine (Biophen FVIII :C® variant), une LLOQ plus basse </w:t>
      </w:r>
      <w:r w:rsidR="00D77BA4" w:rsidRPr="00E01F9C">
        <w:rPr>
          <w:rFonts w:ascii="Arial" w:hAnsi="Arial" w:cs="Arial"/>
        </w:rPr>
        <w:t xml:space="preserve">est </w:t>
      </w:r>
      <w:r w:rsidRPr="00E01F9C">
        <w:rPr>
          <w:rFonts w:ascii="Arial" w:hAnsi="Arial" w:cs="Arial"/>
        </w:rPr>
        <w:t xml:space="preserve">mesurée en utilisant comme diluant le tampon échantillon </w:t>
      </w:r>
      <w:r w:rsidR="00D77BA4" w:rsidRPr="00E01F9C">
        <w:rPr>
          <w:rFonts w:ascii="Arial" w:hAnsi="Arial" w:cs="Arial"/>
        </w:rPr>
        <w:t>excepté pour 1 des 11 centres. En effet, sur automate CS2400 la LLoQ est égale à 4.4% peu importe le diluant utilisé (résultat en orange). Ce résultat a été vérifié et reste identique. A noter que même si la LLoQ du réactif TriniCHROM diminue, elle reste néanmoins &gt;1%.</w:t>
      </w:r>
    </w:p>
    <w:p w:rsidR="000B6A36" w:rsidRPr="00E01F9C" w:rsidRDefault="000B6A36" w:rsidP="002C2283">
      <w:pPr>
        <w:spacing w:after="160" w:line="259" w:lineRule="auto"/>
        <w:contextualSpacing/>
        <w:jc w:val="both"/>
        <w:rPr>
          <w:rFonts w:ascii="Arial" w:hAnsi="Arial" w:cs="Arial"/>
          <w:b/>
          <w:color w:val="000000"/>
          <w:sz w:val="12"/>
          <w:shd w:val="clear" w:color="auto" w:fill="FFFFFF"/>
        </w:rPr>
      </w:pPr>
    </w:p>
    <w:p w:rsidR="00D77BA4" w:rsidRPr="000B6A36" w:rsidRDefault="00D77BA4" w:rsidP="002C2283">
      <w:pPr>
        <w:spacing w:after="160" w:line="259" w:lineRule="auto"/>
        <w:contextualSpacing/>
        <w:jc w:val="both"/>
        <w:rPr>
          <w:rFonts w:ascii="Arial" w:hAnsi="Arial" w:cs="Arial"/>
          <w:b/>
          <w:color w:val="000000"/>
          <w:shd w:val="clear" w:color="auto" w:fill="FFFFFF"/>
        </w:rPr>
      </w:pPr>
      <w:r w:rsidRPr="000B6A36">
        <w:rPr>
          <w:rFonts w:ascii="Arial" w:hAnsi="Arial" w:cs="Arial"/>
          <w:b/>
          <w:color w:val="000000"/>
          <w:shd w:val="clear" w:color="auto" w:fill="FFFFFF"/>
        </w:rPr>
        <w:t xml:space="preserve">En conclusion : </w:t>
      </w:r>
    </w:p>
    <w:p w:rsidR="00D77BA4" w:rsidRDefault="00D77BA4" w:rsidP="002C2283">
      <w:pPr>
        <w:spacing w:after="160" w:line="259" w:lineRule="auto"/>
        <w:contextualSpacing/>
        <w:jc w:val="both"/>
        <w:rPr>
          <w:rFonts w:ascii="Arial" w:hAnsi="Arial" w:cs="Arial"/>
          <w:color w:val="000000"/>
          <w:shd w:val="clear" w:color="auto" w:fill="FFFFFF"/>
        </w:rPr>
      </w:pPr>
      <w:r>
        <w:rPr>
          <w:rFonts w:ascii="Arial" w:hAnsi="Arial" w:cs="Arial"/>
          <w:color w:val="000000"/>
          <w:shd w:val="clear" w:color="auto" w:fill="FFFFFF"/>
        </w:rPr>
        <w:t>La LLoQ réalisé</w:t>
      </w:r>
      <w:r w:rsidR="007A0158">
        <w:rPr>
          <w:rFonts w:ascii="Arial" w:hAnsi="Arial" w:cs="Arial"/>
          <w:color w:val="000000"/>
          <w:shd w:val="clear" w:color="auto" w:fill="FFFFFF"/>
        </w:rPr>
        <w:t>e</w:t>
      </w:r>
      <w:r>
        <w:rPr>
          <w:rFonts w:ascii="Arial" w:hAnsi="Arial" w:cs="Arial"/>
          <w:color w:val="000000"/>
          <w:shd w:val="clear" w:color="auto" w:fill="FFFFFF"/>
        </w:rPr>
        <w:t xml:space="preserve"> en tampon semble améliorée nos résultats pour le réactif</w:t>
      </w:r>
      <w:r w:rsidR="000B6A36">
        <w:rPr>
          <w:rFonts w:ascii="Arial" w:hAnsi="Arial" w:cs="Arial"/>
          <w:color w:val="000000"/>
          <w:shd w:val="clear" w:color="auto" w:fill="FFFFFF"/>
        </w:rPr>
        <w:t xml:space="preserve"> FVIII</w:t>
      </w:r>
      <w:r>
        <w:rPr>
          <w:rFonts w:ascii="Arial" w:hAnsi="Arial" w:cs="Arial"/>
          <w:color w:val="000000"/>
          <w:shd w:val="clear" w:color="auto" w:fill="FFFFFF"/>
        </w:rPr>
        <w:t xml:space="preserve"> Coamatic</w:t>
      </w:r>
      <w:r w:rsidR="000B6A36">
        <w:rPr>
          <w:rFonts w:ascii="Arial" w:hAnsi="Arial" w:cs="Arial"/>
          <w:color w:val="000000"/>
          <w:shd w:val="clear" w:color="auto" w:fill="FFFFFF"/>
        </w:rPr>
        <w:t>®</w:t>
      </w:r>
      <w:r>
        <w:rPr>
          <w:rFonts w:ascii="Arial" w:hAnsi="Arial" w:cs="Arial"/>
          <w:color w:val="000000"/>
          <w:shd w:val="clear" w:color="auto" w:fill="FFFFFF"/>
        </w:rPr>
        <w:t xml:space="preserve"> sur ACL TOP et Starmax ainsi que pour le réactif FVIII Chromogenic Assay à l’exception de l’automate CS2400. La LLoQ réalisée en déficient semble améliorée les résultats pour le réactif Biophen FVIII sur Star max et ACL TOP mais la source du déficient est importante. En effet la LLoQ est améliorée </w:t>
      </w:r>
      <w:r w:rsidR="00163669">
        <w:rPr>
          <w:rFonts w:ascii="Arial" w:hAnsi="Arial" w:cs="Arial"/>
          <w:color w:val="000000"/>
          <w:shd w:val="clear" w:color="auto" w:fill="FFFFFF"/>
        </w:rPr>
        <w:t>uniquement avec le déficient Stago/Siemens mais ne l’</w:t>
      </w:r>
      <w:r w:rsidR="000B6A36">
        <w:rPr>
          <w:rFonts w:ascii="Arial" w:hAnsi="Arial" w:cs="Arial"/>
          <w:color w:val="000000"/>
          <w:shd w:val="clear" w:color="auto" w:fill="FFFFFF"/>
        </w:rPr>
        <w:t>est</w:t>
      </w:r>
      <w:r w:rsidR="00163669">
        <w:rPr>
          <w:rFonts w:ascii="Arial" w:hAnsi="Arial" w:cs="Arial"/>
          <w:color w:val="000000"/>
          <w:shd w:val="clear" w:color="auto" w:fill="FFFFFF"/>
        </w:rPr>
        <w:t xml:space="preserve"> pas avec le déficient Werfen. La standardisation d’une méthodologie pour déterminer une LLoQ </w:t>
      </w:r>
      <w:r w:rsidR="000B6A36">
        <w:rPr>
          <w:rFonts w:ascii="Arial" w:hAnsi="Arial" w:cs="Arial"/>
          <w:color w:val="000000"/>
          <w:shd w:val="clear" w:color="auto" w:fill="FFFFFF"/>
        </w:rPr>
        <w:t xml:space="preserve">semble donc </w:t>
      </w:r>
      <w:r w:rsidR="007A0158">
        <w:rPr>
          <w:rFonts w:ascii="Arial" w:hAnsi="Arial" w:cs="Arial"/>
          <w:color w:val="000000"/>
          <w:shd w:val="clear" w:color="auto" w:fill="FFFFFF"/>
        </w:rPr>
        <w:t>reste</w:t>
      </w:r>
      <w:r w:rsidR="000B6A36">
        <w:rPr>
          <w:rFonts w:ascii="Arial" w:hAnsi="Arial" w:cs="Arial"/>
          <w:color w:val="000000"/>
          <w:shd w:val="clear" w:color="auto" w:fill="FFFFFF"/>
        </w:rPr>
        <w:t>r</w:t>
      </w:r>
      <w:r w:rsidR="00163669">
        <w:rPr>
          <w:rFonts w:ascii="Arial" w:hAnsi="Arial" w:cs="Arial"/>
          <w:color w:val="000000"/>
          <w:shd w:val="clear" w:color="auto" w:fill="FFFFFF"/>
        </w:rPr>
        <w:t xml:space="preserve"> difficile</w:t>
      </w:r>
      <w:r w:rsidR="007A0158">
        <w:rPr>
          <w:rFonts w:ascii="Arial" w:hAnsi="Arial" w:cs="Arial"/>
          <w:color w:val="000000"/>
          <w:shd w:val="clear" w:color="auto" w:fill="FFFFFF"/>
        </w:rPr>
        <w:t>.</w:t>
      </w:r>
      <w:r w:rsidR="005A75CB">
        <w:rPr>
          <w:rFonts w:ascii="Arial" w:hAnsi="Arial" w:cs="Arial"/>
          <w:color w:val="000000"/>
          <w:shd w:val="clear" w:color="auto" w:fill="FFFFFF"/>
        </w:rPr>
        <w:t xml:space="preserve"> (Un poster est prévu pour le congrès de l’ISTH 2025)</w:t>
      </w:r>
    </w:p>
    <w:p w:rsidR="00BB7FD0" w:rsidRPr="00B70581" w:rsidRDefault="00BB7FD0" w:rsidP="00BB7FD0">
      <w:pPr>
        <w:pStyle w:val="Paragraphedeliste"/>
        <w:numPr>
          <w:ilvl w:val="0"/>
          <w:numId w:val="2"/>
        </w:numPr>
        <w:spacing w:line="360" w:lineRule="auto"/>
        <w:jc w:val="both"/>
        <w:rPr>
          <w:rFonts w:ascii="Arial" w:hAnsi="Arial" w:cs="Arial"/>
          <w:b/>
          <w:color w:val="FF0000"/>
        </w:rPr>
      </w:pPr>
      <w:r w:rsidRPr="00B70581">
        <w:rPr>
          <w:rFonts w:ascii="Arial" w:hAnsi="Arial" w:cs="Arial"/>
          <w:b/>
          <w:color w:val="FF0000"/>
        </w:rPr>
        <w:t>Divers</w:t>
      </w:r>
    </w:p>
    <w:p w:rsidR="0023446E" w:rsidRPr="00BB7FD0" w:rsidRDefault="00774DD5" w:rsidP="00BB7FD0">
      <w:pPr>
        <w:spacing w:line="360" w:lineRule="auto"/>
        <w:jc w:val="both"/>
        <w:rPr>
          <w:rFonts w:ascii="Arial" w:hAnsi="Arial" w:cs="Arial"/>
        </w:rPr>
      </w:pPr>
      <w:r w:rsidRPr="00BB7FD0">
        <w:rPr>
          <w:rFonts w:ascii="Arial" w:hAnsi="Arial" w:cs="Arial"/>
          <w:color w:val="000000" w:themeColor="text1"/>
        </w:rPr>
        <w:t>La pr</w:t>
      </w:r>
      <w:r w:rsidR="00836122" w:rsidRPr="00BB7FD0">
        <w:rPr>
          <w:rFonts w:ascii="Arial" w:hAnsi="Arial" w:cs="Arial"/>
          <w:color w:val="000000" w:themeColor="text1"/>
        </w:rPr>
        <w:t xml:space="preserve">ochaine réunion </w:t>
      </w:r>
      <w:r w:rsidR="00D602A9" w:rsidRPr="00BB7FD0">
        <w:rPr>
          <w:rFonts w:ascii="Arial" w:hAnsi="Arial" w:cs="Arial"/>
          <w:color w:val="000000" w:themeColor="text1"/>
        </w:rPr>
        <w:t xml:space="preserve">du BIMHO </w:t>
      </w:r>
      <w:r w:rsidR="00836122" w:rsidRPr="00BB7FD0">
        <w:rPr>
          <w:rFonts w:ascii="Arial" w:hAnsi="Arial" w:cs="Arial"/>
          <w:color w:val="000000" w:themeColor="text1"/>
        </w:rPr>
        <w:t xml:space="preserve">se tiendra le </w:t>
      </w:r>
      <w:r w:rsidR="00AF1170" w:rsidRPr="00BB7FD0">
        <w:rPr>
          <w:rFonts w:ascii="Arial" w:hAnsi="Arial" w:cs="Arial"/>
          <w:color w:val="000000" w:themeColor="text1"/>
        </w:rPr>
        <w:t xml:space="preserve">12 décembre </w:t>
      </w:r>
      <w:r w:rsidR="00F36355" w:rsidRPr="00BB7FD0">
        <w:rPr>
          <w:rFonts w:ascii="Arial" w:hAnsi="Arial" w:cs="Arial"/>
          <w:color w:val="000000" w:themeColor="text1"/>
        </w:rPr>
        <w:t>2025</w:t>
      </w:r>
      <w:r w:rsidR="00F81B33" w:rsidRPr="00BB7FD0">
        <w:rPr>
          <w:rFonts w:ascii="Arial" w:hAnsi="Arial" w:cs="Arial"/>
          <w:color w:val="000000" w:themeColor="text1"/>
        </w:rPr>
        <w:t xml:space="preserve"> </w:t>
      </w:r>
      <w:r w:rsidRPr="00BB7FD0">
        <w:rPr>
          <w:rFonts w:ascii="Arial" w:hAnsi="Arial" w:cs="Arial"/>
          <w:color w:val="000000" w:themeColor="text1"/>
        </w:rPr>
        <w:t>sur Paris</w:t>
      </w:r>
      <w:r w:rsidR="00666310" w:rsidRPr="00BB7FD0">
        <w:rPr>
          <w:rFonts w:ascii="Arial" w:hAnsi="Arial" w:cs="Arial"/>
          <w:color w:val="000000" w:themeColor="text1"/>
        </w:rPr>
        <w:t xml:space="preserve"> </w:t>
      </w:r>
    </w:p>
    <w:sectPr w:rsidR="0023446E" w:rsidRPr="00BB7FD0" w:rsidSect="001E112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2A3" w:rsidRDefault="004C52A3" w:rsidP="0008085C">
      <w:r>
        <w:separator/>
      </w:r>
    </w:p>
  </w:endnote>
  <w:endnote w:type="continuationSeparator" w:id="0">
    <w:p w:rsidR="004C52A3" w:rsidRDefault="004C52A3" w:rsidP="00080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
    <w:altName w:val="MS Gothic"/>
    <w:panose1 w:val="00000000000000000000"/>
    <w:charset w:val="80"/>
    <w:family w:val="moder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2A3" w:rsidRDefault="004C52A3" w:rsidP="0008085C">
      <w:r>
        <w:separator/>
      </w:r>
    </w:p>
  </w:footnote>
  <w:footnote w:type="continuationSeparator" w:id="0">
    <w:p w:rsidR="004C52A3" w:rsidRDefault="004C52A3" w:rsidP="000808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45AED0A"/>
    <w:lvl w:ilvl="0">
      <w:start w:val="1"/>
      <w:numFmt w:val="bullet"/>
      <w:pStyle w:val="Niveauducommentaire11"/>
      <w:lvlText w:val=""/>
      <w:lvlJc w:val="left"/>
      <w:pPr>
        <w:tabs>
          <w:tab w:val="num" w:pos="0"/>
        </w:tabs>
      </w:pPr>
      <w:rPr>
        <w:rFonts w:ascii="Symbol" w:hAnsi="Symbol" w:hint="default"/>
      </w:rPr>
    </w:lvl>
    <w:lvl w:ilvl="1">
      <w:start w:val="1"/>
      <w:numFmt w:val="bullet"/>
      <w:pStyle w:val="Niveauducommentaire21"/>
      <w:lvlText w:val=""/>
      <w:lvlJc w:val="left"/>
      <w:pPr>
        <w:tabs>
          <w:tab w:val="num" w:pos="720"/>
        </w:tabs>
        <w:ind w:left="1080" w:hanging="360"/>
      </w:pPr>
      <w:rPr>
        <w:rFonts w:ascii="Symbol" w:hAnsi="Symbol" w:hint="default"/>
      </w:rPr>
    </w:lvl>
    <w:lvl w:ilvl="2">
      <w:start w:val="1"/>
      <w:numFmt w:val="bullet"/>
      <w:pStyle w:val="Niveauducommentaire31"/>
      <w:lvlText w:val="o"/>
      <w:lvlJc w:val="left"/>
      <w:pPr>
        <w:tabs>
          <w:tab w:val="num" w:pos="1440"/>
        </w:tabs>
        <w:ind w:left="1800" w:hanging="360"/>
      </w:pPr>
      <w:rPr>
        <w:rFonts w:ascii="Courier New" w:hAnsi="Courier New" w:hint="default"/>
      </w:rPr>
    </w:lvl>
    <w:lvl w:ilvl="3">
      <w:start w:val="1"/>
      <w:numFmt w:val="bullet"/>
      <w:pStyle w:val="Niveauducommentaire41"/>
      <w:lvlText w:val=""/>
      <w:lvlJc w:val="left"/>
      <w:pPr>
        <w:tabs>
          <w:tab w:val="num" w:pos="2160"/>
        </w:tabs>
        <w:ind w:left="2520" w:hanging="360"/>
      </w:pPr>
      <w:rPr>
        <w:rFonts w:ascii="Wingdings" w:hAnsi="Wingdings" w:hint="default"/>
      </w:rPr>
    </w:lvl>
    <w:lvl w:ilvl="4">
      <w:start w:val="1"/>
      <w:numFmt w:val="bullet"/>
      <w:pStyle w:val="Niveauducommentaire51"/>
      <w:lvlText w:val=""/>
      <w:lvlJc w:val="left"/>
      <w:pPr>
        <w:tabs>
          <w:tab w:val="num" w:pos="2880"/>
        </w:tabs>
        <w:ind w:left="3240" w:hanging="360"/>
      </w:pPr>
      <w:rPr>
        <w:rFonts w:ascii="Wingdings" w:hAnsi="Wingdings" w:hint="default"/>
      </w:rPr>
    </w:lvl>
    <w:lvl w:ilvl="5">
      <w:start w:val="1"/>
      <w:numFmt w:val="bullet"/>
      <w:pStyle w:val="Niveauducommentaire61"/>
      <w:lvlText w:val=""/>
      <w:lvlJc w:val="left"/>
      <w:pPr>
        <w:tabs>
          <w:tab w:val="num" w:pos="3600"/>
        </w:tabs>
        <w:ind w:left="3960" w:hanging="360"/>
      </w:pPr>
      <w:rPr>
        <w:rFonts w:ascii="Symbol" w:hAnsi="Symbol" w:hint="default"/>
      </w:rPr>
    </w:lvl>
    <w:lvl w:ilvl="6">
      <w:start w:val="1"/>
      <w:numFmt w:val="bullet"/>
      <w:pStyle w:val="Niveauducommentaire71"/>
      <w:lvlText w:val="o"/>
      <w:lvlJc w:val="left"/>
      <w:pPr>
        <w:tabs>
          <w:tab w:val="num" w:pos="4320"/>
        </w:tabs>
        <w:ind w:left="4680" w:hanging="360"/>
      </w:pPr>
      <w:rPr>
        <w:rFonts w:ascii="Courier New" w:hAnsi="Courier New" w:hint="default"/>
      </w:rPr>
    </w:lvl>
    <w:lvl w:ilvl="7">
      <w:start w:val="1"/>
      <w:numFmt w:val="bullet"/>
      <w:pStyle w:val="Niveauducommentaire81"/>
      <w:lvlText w:val=""/>
      <w:lvlJc w:val="left"/>
      <w:pPr>
        <w:tabs>
          <w:tab w:val="num" w:pos="5040"/>
        </w:tabs>
        <w:ind w:left="5400" w:hanging="360"/>
      </w:pPr>
      <w:rPr>
        <w:rFonts w:ascii="Wingdings" w:hAnsi="Wingdings" w:hint="default"/>
      </w:rPr>
    </w:lvl>
    <w:lvl w:ilvl="8">
      <w:start w:val="1"/>
      <w:numFmt w:val="bullet"/>
      <w:pStyle w:val="Niveauducommentaire91"/>
      <w:lvlText w:val=""/>
      <w:lvlJc w:val="left"/>
      <w:pPr>
        <w:tabs>
          <w:tab w:val="num" w:pos="5760"/>
        </w:tabs>
        <w:ind w:left="6120" w:hanging="360"/>
      </w:pPr>
      <w:rPr>
        <w:rFonts w:ascii="Wingdings" w:hAnsi="Wingdings" w:hint="default"/>
      </w:rPr>
    </w:lvl>
  </w:abstractNum>
  <w:abstractNum w:abstractNumId="1" w15:restartNumberingAfterBreak="0">
    <w:nsid w:val="0170603E"/>
    <w:multiLevelType w:val="hybridMultilevel"/>
    <w:tmpl w:val="69B48A92"/>
    <w:lvl w:ilvl="0" w:tplc="D05AA398">
      <w:start w:val="8"/>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56E0D95"/>
    <w:multiLevelType w:val="hybridMultilevel"/>
    <w:tmpl w:val="71CE7968"/>
    <w:lvl w:ilvl="0" w:tplc="2E945796">
      <w:numFmt w:val="bullet"/>
      <w:lvlText w:val="-"/>
      <w:lvlJc w:val="left"/>
      <w:pPr>
        <w:ind w:left="360" w:hanging="360"/>
      </w:pPr>
      <w:rPr>
        <w:rFonts w:ascii="Arial" w:eastAsia="Times New Roman" w:hAnsi="Arial" w:cs="Arial" w:hint="default"/>
        <w:b/>
        <w:color w:val="00000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A3410D2"/>
    <w:multiLevelType w:val="multilevel"/>
    <w:tmpl w:val="2FEE4CA2"/>
    <w:lvl w:ilvl="0">
      <w:start w:val="6"/>
      <w:numFmt w:val="decimal"/>
      <w:lvlText w:val="%1."/>
      <w:lvlJc w:val="left"/>
      <w:pPr>
        <w:ind w:left="390" w:hanging="390"/>
      </w:pPr>
      <w:rPr>
        <w:rFonts w:hint="default"/>
        <w:color w:val="000000" w:themeColor="text1"/>
      </w:rPr>
    </w:lvl>
    <w:lvl w:ilvl="1">
      <w:start w:val="4"/>
      <w:numFmt w:val="decimal"/>
      <w:lvlText w:val="%1.%2."/>
      <w:lvlJc w:val="left"/>
      <w:pPr>
        <w:ind w:left="720" w:hanging="720"/>
      </w:pPr>
      <w:rPr>
        <w:rFonts w:hint="default"/>
        <w:b/>
        <w:color w:val="FF0000"/>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4" w15:restartNumberingAfterBreak="0">
    <w:nsid w:val="0D866E6A"/>
    <w:multiLevelType w:val="hybridMultilevel"/>
    <w:tmpl w:val="24FAE8BE"/>
    <w:lvl w:ilvl="0" w:tplc="EE4A529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D27A70"/>
    <w:multiLevelType w:val="hybridMultilevel"/>
    <w:tmpl w:val="D6146D76"/>
    <w:lvl w:ilvl="0" w:tplc="97D8A8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1D60ED"/>
    <w:multiLevelType w:val="hybridMultilevel"/>
    <w:tmpl w:val="237CC73C"/>
    <w:lvl w:ilvl="0" w:tplc="040C0015">
      <w:start w:val="1"/>
      <w:numFmt w:val="upperLetter"/>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3F01BE5"/>
    <w:multiLevelType w:val="multilevel"/>
    <w:tmpl w:val="445E1A38"/>
    <w:lvl w:ilvl="0">
      <w:start w:val="1"/>
      <w:numFmt w:val="decimal"/>
      <w:lvlText w:val="%1."/>
      <w:lvlJc w:val="left"/>
      <w:pPr>
        <w:ind w:left="360" w:hanging="360"/>
      </w:pPr>
      <w:rPr>
        <w:rFonts w:ascii="Arial" w:hAnsi="Arial" w:cs="Arial" w:hint="default"/>
        <w:b/>
        <w:color w:val="FF0000"/>
      </w:rPr>
    </w:lvl>
    <w:lvl w:ilvl="1">
      <w:start w:val="3"/>
      <w:numFmt w:val="decimal"/>
      <w:isLgl/>
      <w:lvlText w:val="%1.%2"/>
      <w:lvlJc w:val="left"/>
      <w:pPr>
        <w:ind w:left="360" w:hanging="360"/>
      </w:pPr>
      <w:rPr>
        <w:rFonts w:asciiTheme="minorHAnsi" w:hAnsiTheme="minorHAnsi" w:cstheme="minorHAnsi" w:hint="default"/>
        <w:b/>
        <w:color w:val="FF0000"/>
      </w:rPr>
    </w:lvl>
    <w:lvl w:ilvl="2">
      <w:start w:val="1"/>
      <w:numFmt w:val="decimal"/>
      <w:isLgl/>
      <w:lvlText w:val="%1.%2.%3"/>
      <w:lvlJc w:val="left"/>
      <w:pPr>
        <w:ind w:left="720" w:hanging="720"/>
      </w:pPr>
      <w:rPr>
        <w:rFonts w:asciiTheme="minorHAnsi" w:hAnsiTheme="minorHAnsi" w:cstheme="minorHAnsi" w:hint="default"/>
        <w:b/>
        <w:color w:val="FF0000"/>
      </w:rPr>
    </w:lvl>
    <w:lvl w:ilvl="3">
      <w:start w:val="1"/>
      <w:numFmt w:val="decimal"/>
      <w:isLgl/>
      <w:lvlText w:val="%1.%2.%3.%4"/>
      <w:lvlJc w:val="left"/>
      <w:pPr>
        <w:ind w:left="720" w:hanging="720"/>
      </w:pPr>
      <w:rPr>
        <w:rFonts w:asciiTheme="minorHAnsi" w:hAnsiTheme="minorHAnsi" w:cstheme="minorHAnsi" w:hint="default"/>
        <w:b/>
        <w:color w:val="FF0000"/>
      </w:rPr>
    </w:lvl>
    <w:lvl w:ilvl="4">
      <w:start w:val="1"/>
      <w:numFmt w:val="decimal"/>
      <w:isLgl/>
      <w:lvlText w:val="%1.%2.%3.%4.%5"/>
      <w:lvlJc w:val="left"/>
      <w:pPr>
        <w:ind w:left="1080" w:hanging="1080"/>
      </w:pPr>
      <w:rPr>
        <w:rFonts w:asciiTheme="minorHAnsi" w:hAnsiTheme="minorHAnsi" w:cstheme="minorHAnsi" w:hint="default"/>
        <w:b/>
        <w:color w:val="FF0000"/>
      </w:rPr>
    </w:lvl>
    <w:lvl w:ilvl="5">
      <w:start w:val="1"/>
      <w:numFmt w:val="decimal"/>
      <w:isLgl/>
      <w:lvlText w:val="%1.%2.%3.%4.%5.%6"/>
      <w:lvlJc w:val="left"/>
      <w:pPr>
        <w:ind w:left="1080" w:hanging="1080"/>
      </w:pPr>
      <w:rPr>
        <w:rFonts w:asciiTheme="minorHAnsi" w:hAnsiTheme="minorHAnsi" w:cstheme="minorHAnsi" w:hint="default"/>
        <w:b/>
        <w:color w:val="FF0000"/>
      </w:rPr>
    </w:lvl>
    <w:lvl w:ilvl="6">
      <w:start w:val="1"/>
      <w:numFmt w:val="decimal"/>
      <w:isLgl/>
      <w:lvlText w:val="%1.%2.%3.%4.%5.%6.%7"/>
      <w:lvlJc w:val="left"/>
      <w:pPr>
        <w:ind w:left="1440" w:hanging="1440"/>
      </w:pPr>
      <w:rPr>
        <w:rFonts w:asciiTheme="minorHAnsi" w:hAnsiTheme="minorHAnsi" w:cstheme="minorHAnsi" w:hint="default"/>
        <w:b/>
        <w:color w:val="FF0000"/>
      </w:rPr>
    </w:lvl>
    <w:lvl w:ilvl="7">
      <w:start w:val="1"/>
      <w:numFmt w:val="decimal"/>
      <w:isLgl/>
      <w:lvlText w:val="%1.%2.%3.%4.%5.%6.%7.%8"/>
      <w:lvlJc w:val="left"/>
      <w:pPr>
        <w:ind w:left="1440" w:hanging="1440"/>
      </w:pPr>
      <w:rPr>
        <w:rFonts w:asciiTheme="minorHAnsi" w:hAnsiTheme="minorHAnsi" w:cstheme="minorHAnsi" w:hint="default"/>
        <w:b/>
        <w:color w:val="FF0000"/>
      </w:rPr>
    </w:lvl>
    <w:lvl w:ilvl="8">
      <w:start w:val="1"/>
      <w:numFmt w:val="decimal"/>
      <w:isLgl/>
      <w:lvlText w:val="%1.%2.%3.%4.%5.%6.%7.%8.%9"/>
      <w:lvlJc w:val="left"/>
      <w:pPr>
        <w:ind w:left="1800" w:hanging="1800"/>
      </w:pPr>
      <w:rPr>
        <w:rFonts w:asciiTheme="minorHAnsi" w:hAnsiTheme="minorHAnsi" w:cstheme="minorHAnsi" w:hint="default"/>
        <w:b/>
        <w:color w:val="FF0000"/>
      </w:rPr>
    </w:lvl>
  </w:abstractNum>
  <w:abstractNum w:abstractNumId="8" w15:restartNumberingAfterBreak="0">
    <w:nsid w:val="16FC7E3E"/>
    <w:multiLevelType w:val="hybridMultilevel"/>
    <w:tmpl w:val="2FE4CE8E"/>
    <w:lvl w:ilvl="0" w:tplc="3A04F6BC">
      <w:start w:val="3"/>
      <w:numFmt w:val="bullet"/>
      <w:lvlText w:val="-"/>
      <w:lvlJc w:val="left"/>
      <w:pPr>
        <w:ind w:left="1068" w:hanging="360"/>
      </w:pPr>
      <w:rPr>
        <w:rFonts w:ascii="Calibri" w:eastAsia="Times New Roman"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1998133E"/>
    <w:multiLevelType w:val="multilevel"/>
    <w:tmpl w:val="CB3073FE"/>
    <w:lvl w:ilvl="0">
      <w:start w:val="8"/>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0" w15:restartNumberingAfterBreak="0">
    <w:nsid w:val="1B733348"/>
    <w:multiLevelType w:val="hybridMultilevel"/>
    <w:tmpl w:val="DD20A612"/>
    <w:lvl w:ilvl="0" w:tplc="11961DBA">
      <w:numFmt w:val="bullet"/>
      <w:lvlText w:val="-"/>
      <w:lvlJc w:val="left"/>
      <w:pPr>
        <w:ind w:left="2484" w:hanging="360"/>
      </w:pPr>
      <w:rPr>
        <w:rFonts w:ascii="Arial" w:eastAsia="Calibri" w:hAnsi="Arial" w:cs="Arial" w:hint="default"/>
        <w:b/>
        <w:color w:val="auto"/>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11" w15:restartNumberingAfterBreak="0">
    <w:nsid w:val="24DE7EE7"/>
    <w:multiLevelType w:val="multilevel"/>
    <w:tmpl w:val="72D031A0"/>
    <w:lvl w:ilvl="0">
      <w:start w:val="6"/>
      <w:numFmt w:val="decimal"/>
      <w:lvlText w:val="%1"/>
      <w:lvlJc w:val="left"/>
      <w:pPr>
        <w:ind w:left="360" w:hanging="360"/>
      </w:pPr>
      <w:rPr>
        <w:rFonts w:eastAsia="Times New Roman" w:hint="default"/>
        <w:color w:val="FF0000"/>
      </w:rPr>
    </w:lvl>
    <w:lvl w:ilvl="1">
      <w:start w:val="3"/>
      <w:numFmt w:val="decimal"/>
      <w:lvlText w:val="%1.%2"/>
      <w:lvlJc w:val="left"/>
      <w:pPr>
        <w:ind w:left="786" w:hanging="360"/>
      </w:pPr>
      <w:rPr>
        <w:rFonts w:eastAsia="Times New Roman" w:hint="default"/>
        <w:color w:val="FF0000"/>
      </w:rPr>
    </w:lvl>
    <w:lvl w:ilvl="2">
      <w:start w:val="1"/>
      <w:numFmt w:val="decimal"/>
      <w:lvlText w:val="%1.%2.%3"/>
      <w:lvlJc w:val="left"/>
      <w:pPr>
        <w:ind w:left="1572" w:hanging="720"/>
      </w:pPr>
      <w:rPr>
        <w:rFonts w:eastAsia="Times New Roman" w:hint="default"/>
        <w:color w:val="FF0000"/>
      </w:rPr>
    </w:lvl>
    <w:lvl w:ilvl="3">
      <w:start w:val="1"/>
      <w:numFmt w:val="decimal"/>
      <w:lvlText w:val="%1.%2.%3.%4"/>
      <w:lvlJc w:val="left"/>
      <w:pPr>
        <w:ind w:left="2358" w:hanging="1080"/>
      </w:pPr>
      <w:rPr>
        <w:rFonts w:eastAsia="Times New Roman" w:hint="default"/>
        <w:color w:val="FF0000"/>
      </w:rPr>
    </w:lvl>
    <w:lvl w:ilvl="4">
      <w:start w:val="1"/>
      <w:numFmt w:val="decimal"/>
      <w:lvlText w:val="%1.%2.%3.%4.%5"/>
      <w:lvlJc w:val="left"/>
      <w:pPr>
        <w:ind w:left="2784" w:hanging="1080"/>
      </w:pPr>
      <w:rPr>
        <w:rFonts w:eastAsia="Times New Roman" w:hint="default"/>
        <w:color w:val="FF0000"/>
      </w:rPr>
    </w:lvl>
    <w:lvl w:ilvl="5">
      <w:start w:val="1"/>
      <w:numFmt w:val="decimal"/>
      <w:lvlText w:val="%1.%2.%3.%4.%5.%6"/>
      <w:lvlJc w:val="left"/>
      <w:pPr>
        <w:ind w:left="3570" w:hanging="1440"/>
      </w:pPr>
      <w:rPr>
        <w:rFonts w:eastAsia="Times New Roman" w:hint="default"/>
        <w:color w:val="FF0000"/>
      </w:rPr>
    </w:lvl>
    <w:lvl w:ilvl="6">
      <w:start w:val="1"/>
      <w:numFmt w:val="decimal"/>
      <w:lvlText w:val="%1.%2.%3.%4.%5.%6.%7"/>
      <w:lvlJc w:val="left"/>
      <w:pPr>
        <w:ind w:left="3996" w:hanging="1440"/>
      </w:pPr>
      <w:rPr>
        <w:rFonts w:eastAsia="Times New Roman" w:hint="default"/>
        <w:color w:val="FF0000"/>
      </w:rPr>
    </w:lvl>
    <w:lvl w:ilvl="7">
      <w:start w:val="1"/>
      <w:numFmt w:val="decimal"/>
      <w:lvlText w:val="%1.%2.%3.%4.%5.%6.%7.%8"/>
      <w:lvlJc w:val="left"/>
      <w:pPr>
        <w:ind w:left="4782" w:hanging="1800"/>
      </w:pPr>
      <w:rPr>
        <w:rFonts w:eastAsia="Times New Roman" w:hint="default"/>
        <w:color w:val="FF0000"/>
      </w:rPr>
    </w:lvl>
    <w:lvl w:ilvl="8">
      <w:start w:val="1"/>
      <w:numFmt w:val="decimal"/>
      <w:lvlText w:val="%1.%2.%3.%4.%5.%6.%7.%8.%9"/>
      <w:lvlJc w:val="left"/>
      <w:pPr>
        <w:ind w:left="5208" w:hanging="1800"/>
      </w:pPr>
      <w:rPr>
        <w:rFonts w:eastAsia="Times New Roman" w:hint="default"/>
        <w:color w:val="FF0000"/>
      </w:rPr>
    </w:lvl>
  </w:abstractNum>
  <w:abstractNum w:abstractNumId="12" w15:restartNumberingAfterBreak="0">
    <w:nsid w:val="2D2347A1"/>
    <w:multiLevelType w:val="multilevel"/>
    <w:tmpl w:val="0394A618"/>
    <w:lvl w:ilvl="0">
      <w:start w:val="9"/>
      <w:numFmt w:val="decimal"/>
      <w:lvlText w:val="%1"/>
      <w:lvlJc w:val="left"/>
      <w:pPr>
        <w:ind w:left="360" w:hanging="360"/>
      </w:pPr>
      <w:rPr>
        <w:rFonts w:ascii="Arial" w:hAnsi="Arial" w:cs="Arial" w:hint="default"/>
        <w:color w:val="auto"/>
      </w:rPr>
    </w:lvl>
    <w:lvl w:ilvl="1">
      <w:start w:val="1"/>
      <w:numFmt w:val="decimal"/>
      <w:lvlText w:val="%1.%2"/>
      <w:lvlJc w:val="left"/>
      <w:pPr>
        <w:ind w:left="360" w:hanging="360"/>
      </w:pPr>
      <w:rPr>
        <w:rFonts w:ascii="Arial" w:hAnsi="Arial" w:cs="Arial" w:hint="default"/>
        <w:b/>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720" w:hanging="720"/>
      </w:pPr>
      <w:rPr>
        <w:rFonts w:ascii="Arial" w:hAnsi="Arial" w:cs="Arial" w:hint="default"/>
        <w:color w:val="auto"/>
      </w:rPr>
    </w:lvl>
    <w:lvl w:ilvl="4">
      <w:start w:val="1"/>
      <w:numFmt w:val="decimal"/>
      <w:lvlText w:val="%1.%2.%3.%4.%5"/>
      <w:lvlJc w:val="left"/>
      <w:pPr>
        <w:ind w:left="1080" w:hanging="1080"/>
      </w:pPr>
      <w:rPr>
        <w:rFonts w:ascii="Arial" w:hAnsi="Arial" w:cs="Arial" w:hint="default"/>
        <w:color w:val="auto"/>
      </w:rPr>
    </w:lvl>
    <w:lvl w:ilvl="5">
      <w:start w:val="1"/>
      <w:numFmt w:val="decimal"/>
      <w:lvlText w:val="%1.%2.%3.%4.%5.%6"/>
      <w:lvlJc w:val="left"/>
      <w:pPr>
        <w:ind w:left="1080" w:hanging="1080"/>
      </w:pPr>
      <w:rPr>
        <w:rFonts w:ascii="Arial" w:hAnsi="Arial" w:cs="Arial" w:hint="default"/>
        <w:color w:val="auto"/>
      </w:rPr>
    </w:lvl>
    <w:lvl w:ilvl="6">
      <w:start w:val="1"/>
      <w:numFmt w:val="decimal"/>
      <w:lvlText w:val="%1.%2.%3.%4.%5.%6.%7"/>
      <w:lvlJc w:val="left"/>
      <w:pPr>
        <w:ind w:left="1440" w:hanging="1440"/>
      </w:pPr>
      <w:rPr>
        <w:rFonts w:ascii="Arial" w:hAnsi="Arial" w:cs="Arial" w:hint="default"/>
        <w:color w:val="auto"/>
      </w:rPr>
    </w:lvl>
    <w:lvl w:ilvl="7">
      <w:start w:val="1"/>
      <w:numFmt w:val="decimal"/>
      <w:lvlText w:val="%1.%2.%3.%4.%5.%6.%7.%8"/>
      <w:lvlJc w:val="left"/>
      <w:pPr>
        <w:ind w:left="1440" w:hanging="1440"/>
      </w:pPr>
      <w:rPr>
        <w:rFonts w:ascii="Arial" w:hAnsi="Arial" w:cs="Arial" w:hint="default"/>
        <w:color w:val="auto"/>
      </w:rPr>
    </w:lvl>
    <w:lvl w:ilvl="8">
      <w:start w:val="1"/>
      <w:numFmt w:val="decimal"/>
      <w:lvlText w:val="%1.%2.%3.%4.%5.%6.%7.%8.%9"/>
      <w:lvlJc w:val="left"/>
      <w:pPr>
        <w:ind w:left="1800" w:hanging="1800"/>
      </w:pPr>
      <w:rPr>
        <w:rFonts w:ascii="Arial" w:hAnsi="Arial" w:cs="Arial" w:hint="default"/>
        <w:color w:val="auto"/>
      </w:rPr>
    </w:lvl>
  </w:abstractNum>
  <w:abstractNum w:abstractNumId="13" w15:restartNumberingAfterBreak="0">
    <w:nsid w:val="3036313F"/>
    <w:multiLevelType w:val="multilevel"/>
    <w:tmpl w:val="D49044C8"/>
    <w:lvl w:ilvl="0">
      <w:start w:val="9"/>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457F6B4E"/>
    <w:multiLevelType w:val="hybridMultilevel"/>
    <w:tmpl w:val="1B2CAC46"/>
    <w:lvl w:ilvl="0" w:tplc="F50A2BF8">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7F375BB"/>
    <w:multiLevelType w:val="hybridMultilevel"/>
    <w:tmpl w:val="9B26702C"/>
    <w:lvl w:ilvl="0" w:tplc="D00CF04E">
      <w:start w:val="1"/>
      <w:numFmt w:val="bullet"/>
      <w:lvlText w:val="•"/>
      <w:lvlJc w:val="left"/>
      <w:pPr>
        <w:tabs>
          <w:tab w:val="num" w:pos="720"/>
        </w:tabs>
        <w:ind w:left="720" w:hanging="360"/>
      </w:pPr>
      <w:rPr>
        <w:rFonts w:ascii="Arial" w:hAnsi="Arial" w:hint="default"/>
      </w:rPr>
    </w:lvl>
    <w:lvl w:ilvl="1" w:tplc="999C65CA" w:tentative="1">
      <w:start w:val="1"/>
      <w:numFmt w:val="bullet"/>
      <w:lvlText w:val="•"/>
      <w:lvlJc w:val="left"/>
      <w:pPr>
        <w:tabs>
          <w:tab w:val="num" w:pos="1440"/>
        </w:tabs>
        <w:ind w:left="1440" w:hanging="360"/>
      </w:pPr>
      <w:rPr>
        <w:rFonts w:ascii="Arial" w:hAnsi="Arial" w:hint="default"/>
      </w:rPr>
    </w:lvl>
    <w:lvl w:ilvl="2" w:tplc="8A2E776A" w:tentative="1">
      <w:start w:val="1"/>
      <w:numFmt w:val="bullet"/>
      <w:lvlText w:val="•"/>
      <w:lvlJc w:val="left"/>
      <w:pPr>
        <w:tabs>
          <w:tab w:val="num" w:pos="2160"/>
        </w:tabs>
        <w:ind w:left="2160" w:hanging="360"/>
      </w:pPr>
      <w:rPr>
        <w:rFonts w:ascii="Arial" w:hAnsi="Arial" w:hint="default"/>
      </w:rPr>
    </w:lvl>
    <w:lvl w:ilvl="3" w:tplc="7E645538" w:tentative="1">
      <w:start w:val="1"/>
      <w:numFmt w:val="bullet"/>
      <w:lvlText w:val="•"/>
      <w:lvlJc w:val="left"/>
      <w:pPr>
        <w:tabs>
          <w:tab w:val="num" w:pos="2880"/>
        </w:tabs>
        <w:ind w:left="2880" w:hanging="360"/>
      </w:pPr>
      <w:rPr>
        <w:rFonts w:ascii="Arial" w:hAnsi="Arial" w:hint="default"/>
      </w:rPr>
    </w:lvl>
    <w:lvl w:ilvl="4" w:tplc="BCA8222A" w:tentative="1">
      <w:start w:val="1"/>
      <w:numFmt w:val="bullet"/>
      <w:lvlText w:val="•"/>
      <w:lvlJc w:val="left"/>
      <w:pPr>
        <w:tabs>
          <w:tab w:val="num" w:pos="3600"/>
        </w:tabs>
        <w:ind w:left="3600" w:hanging="360"/>
      </w:pPr>
      <w:rPr>
        <w:rFonts w:ascii="Arial" w:hAnsi="Arial" w:hint="default"/>
      </w:rPr>
    </w:lvl>
    <w:lvl w:ilvl="5" w:tplc="1638BD8C" w:tentative="1">
      <w:start w:val="1"/>
      <w:numFmt w:val="bullet"/>
      <w:lvlText w:val="•"/>
      <w:lvlJc w:val="left"/>
      <w:pPr>
        <w:tabs>
          <w:tab w:val="num" w:pos="4320"/>
        </w:tabs>
        <w:ind w:left="4320" w:hanging="360"/>
      </w:pPr>
      <w:rPr>
        <w:rFonts w:ascii="Arial" w:hAnsi="Arial" w:hint="default"/>
      </w:rPr>
    </w:lvl>
    <w:lvl w:ilvl="6" w:tplc="4D60CCA4" w:tentative="1">
      <w:start w:val="1"/>
      <w:numFmt w:val="bullet"/>
      <w:lvlText w:val="•"/>
      <w:lvlJc w:val="left"/>
      <w:pPr>
        <w:tabs>
          <w:tab w:val="num" w:pos="5040"/>
        </w:tabs>
        <w:ind w:left="5040" w:hanging="360"/>
      </w:pPr>
      <w:rPr>
        <w:rFonts w:ascii="Arial" w:hAnsi="Arial" w:hint="default"/>
      </w:rPr>
    </w:lvl>
    <w:lvl w:ilvl="7" w:tplc="48962FFA" w:tentative="1">
      <w:start w:val="1"/>
      <w:numFmt w:val="bullet"/>
      <w:lvlText w:val="•"/>
      <w:lvlJc w:val="left"/>
      <w:pPr>
        <w:tabs>
          <w:tab w:val="num" w:pos="5760"/>
        </w:tabs>
        <w:ind w:left="5760" w:hanging="360"/>
      </w:pPr>
      <w:rPr>
        <w:rFonts w:ascii="Arial" w:hAnsi="Arial" w:hint="default"/>
      </w:rPr>
    </w:lvl>
    <w:lvl w:ilvl="8" w:tplc="E03E5D8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83440BC"/>
    <w:multiLevelType w:val="hybridMultilevel"/>
    <w:tmpl w:val="2FC86E62"/>
    <w:lvl w:ilvl="0" w:tplc="8286D830">
      <w:start w:val="5"/>
      <w:numFmt w:val="decimal"/>
      <w:lvlText w:val="%1"/>
      <w:lvlJc w:val="left"/>
      <w:pPr>
        <w:ind w:left="720" w:hanging="360"/>
      </w:pPr>
      <w:rPr>
        <w:rFonts w:hint="default"/>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21D6F53"/>
    <w:multiLevelType w:val="hybridMultilevel"/>
    <w:tmpl w:val="4C20F9E6"/>
    <w:lvl w:ilvl="0" w:tplc="D1C86AB6">
      <w:start w:val="6"/>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F50932"/>
    <w:multiLevelType w:val="hybridMultilevel"/>
    <w:tmpl w:val="C62AF4F2"/>
    <w:lvl w:ilvl="0" w:tplc="95DA4FF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85C0FAB"/>
    <w:multiLevelType w:val="multilevel"/>
    <w:tmpl w:val="87C06D1C"/>
    <w:lvl w:ilvl="0">
      <w:start w:val="3"/>
      <w:numFmt w:val="decimal"/>
      <w:lvlText w:val="%1"/>
      <w:lvlJc w:val="left"/>
      <w:pPr>
        <w:ind w:left="360" w:hanging="360"/>
      </w:pPr>
      <w:rPr>
        <w:rFonts w:hint="default"/>
        <w:b/>
        <w:color w:val="FF0000"/>
      </w:rPr>
    </w:lvl>
    <w:lvl w:ilvl="1">
      <w:start w:val="1"/>
      <w:numFmt w:val="decimal"/>
      <w:lvlText w:val="%1.%2"/>
      <w:lvlJc w:val="left"/>
      <w:pPr>
        <w:ind w:left="360" w:hanging="360"/>
      </w:pPr>
      <w:rPr>
        <w:rFonts w:hint="default"/>
        <w:color w:val="FF000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A3C693F"/>
    <w:multiLevelType w:val="hybridMultilevel"/>
    <w:tmpl w:val="BCBCF44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6E78313A"/>
    <w:multiLevelType w:val="hybridMultilevel"/>
    <w:tmpl w:val="5D62054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1517A3B"/>
    <w:multiLevelType w:val="hybridMultilevel"/>
    <w:tmpl w:val="B6EC0006"/>
    <w:lvl w:ilvl="0" w:tplc="39805876">
      <w:start w:val="1"/>
      <w:numFmt w:val="decimal"/>
      <w:lvlText w:val="%1)"/>
      <w:lvlJc w:val="left"/>
      <w:pPr>
        <w:ind w:left="720" w:hanging="360"/>
      </w:pPr>
      <w:rPr>
        <w:rFonts w:asciiTheme="minorHAnsi" w:eastAsia="Times New Roman" w:hAnsiTheme="minorHAnsi" w:cstheme="minorHAnsi"/>
        <w:b/>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44555FB"/>
    <w:multiLevelType w:val="hybridMultilevel"/>
    <w:tmpl w:val="DA523676"/>
    <w:lvl w:ilvl="0" w:tplc="E774EB06">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7C16B46"/>
    <w:multiLevelType w:val="hybridMultilevel"/>
    <w:tmpl w:val="45B81F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D754439"/>
    <w:multiLevelType w:val="hybridMultilevel"/>
    <w:tmpl w:val="D7346AE8"/>
    <w:lvl w:ilvl="0" w:tplc="ADA40D8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F68164F"/>
    <w:multiLevelType w:val="hybridMultilevel"/>
    <w:tmpl w:val="9496DB1C"/>
    <w:lvl w:ilvl="0" w:tplc="040C000F">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7"/>
  </w:num>
  <w:num w:numId="3">
    <w:abstractNumId w:val="22"/>
  </w:num>
  <w:num w:numId="4">
    <w:abstractNumId w:val="1"/>
  </w:num>
  <w:num w:numId="5">
    <w:abstractNumId w:val="19"/>
  </w:num>
  <w:num w:numId="6">
    <w:abstractNumId w:val="8"/>
  </w:num>
  <w:num w:numId="7">
    <w:abstractNumId w:val="21"/>
  </w:num>
  <w:num w:numId="8">
    <w:abstractNumId w:val="5"/>
  </w:num>
  <w:num w:numId="9">
    <w:abstractNumId w:val="20"/>
  </w:num>
  <w:num w:numId="10">
    <w:abstractNumId w:val="2"/>
  </w:num>
  <w:num w:numId="11">
    <w:abstractNumId w:val="11"/>
  </w:num>
  <w:num w:numId="12">
    <w:abstractNumId w:val="3"/>
  </w:num>
  <w:num w:numId="13">
    <w:abstractNumId w:val="26"/>
  </w:num>
  <w:num w:numId="14">
    <w:abstractNumId w:val="17"/>
  </w:num>
  <w:num w:numId="15">
    <w:abstractNumId w:val="16"/>
  </w:num>
  <w:num w:numId="16">
    <w:abstractNumId w:val="10"/>
  </w:num>
  <w:num w:numId="17">
    <w:abstractNumId w:val="9"/>
  </w:num>
  <w:num w:numId="18">
    <w:abstractNumId w:val="15"/>
  </w:num>
  <w:num w:numId="19">
    <w:abstractNumId w:val="6"/>
  </w:num>
  <w:num w:numId="20">
    <w:abstractNumId w:val="25"/>
  </w:num>
  <w:num w:numId="21">
    <w:abstractNumId w:val="14"/>
  </w:num>
  <w:num w:numId="22">
    <w:abstractNumId w:val="13"/>
  </w:num>
  <w:num w:numId="23">
    <w:abstractNumId w:val="12"/>
  </w:num>
  <w:num w:numId="24">
    <w:abstractNumId w:val="4"/>
  </w:num>
  <w:num w:numId="25">
    <w:abstractNumId w:val="18"/>
  </w:num>
  <w:num w:numId="26">
    <w:abstractNumId w:val="23"/>
  </w:num>
  <w:num w:numId="27">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fr-FR" w:vendorID="64" w:dllVersion="6" w:nlCheck="1" w:checkStyle="0"/>
  <w:activeWritingStyle w:appName="MSWord" w:lang="en-US"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131078" w:nlCheck="1" w:checkStyle="0"/>
  <w:activeWritingStyle w:appName="MSWord" w:lang="en-GB" w:vendorID="64" w:dllVersion="131078" w:nlCheck="1" w:checkStyle="1"/>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515DC1D2-045A-4E2A-8C40-2CBF1C41C39D}"/>
    <w:docVar w:name="dgnword-eventsink" w:val="315913728"/>
  </w:docVars>
  <w:rsids>
    <w:rsidRoot w:val="000C51C3"/>
    <w:rsid w:val="00000B11"/>
    <w:rsid w:val="00000C93"/>
    <w:rsid w:val="0000105F"/>
    <w:rsid w:val="00001EA3"/>
    <w:rsid w:val="00003A91"/>
    <w:rsid w:val="00004619"/>
    <w:rsid w:val="0000501D"/>
    <w:rsid w:val="00005803"/>
    <w:rsid w:val="00006849"/>
    <w:rsid w:val="00012819"/>
    <w:rsid w:val="00014686"/>
    <w:rsid w:val="00023553"/>
    <w:rsid w:val="00025622"/>
    <w:rsid w:val="000270A3"/>
    <w:rsid w:val="00030E4B"/>
    <w:rsid w:val="00035D8D"/>
    <w:rsid w:val="00036020"/>
    <w:rsid w:val="00036D0E"/>
    <w:rsid w:val="00036EBF"/>
    <w:rsid w:val="000371D8"/>
    <w:rsid w:val="000403D6"/>
    <w:rsid w:val="000410D8"/>
    <w:rsid w:val="000420D2"/>
    <w:rsid w:val="0004438E"/>
    <w:rsid w:val="00045BD0"/>
    <w:rsid w:val="00046833"/>
    <w:rsid w:val="000469E0"/>
    <w:rsid w:val="00051A8C"/>
    <w:rsid w:val="00055D45"/>
    <w:rsid w:val="00057FC1"/>
    <w:rsid w:val="000640FB"/>
    <w:rsid w:val="00065A72"/>
    <w:rsid w:val="000750E0"/>
    <w:rsid w:val="00076646"/>
    <w:rsid w:val="0008085C"/>
    <w:rsid w:val="000818A0"/>
    <w:rsid w:val="0008487D"/>
    <w:rsid w:val="00084BD7"/>
    <w:rsid w:val="000855D9"/>
    <w:rsid w:val="00085898"/>
    <w:rsid w:val="000859AD"/>
    <w:rsid w:val="0008708A"/>
    <w:rsid w:val="00087EDF"/>
    <w:rsid w:val="00092723"/>
    <w:rsid w:val="000A0009"/>
    <w:rsid w:val="000A29D0"/>
    <w:rsid w:val="000A5414"/>
    <w:rsid w:val="000B0A87"/>
    <w:rsid w:val="000B28F1"/>
    <w:rsid w:val="000B39BC"/>
    <w:rsid w:val="000B5D2C"/>
    <w:rsid w:val="000B6A36"/>
    <w:rsid w:val="000C0885"/>
    <w:rsid w:val="000C0E53"/>
    <w:rsid w:val="000C11C2"/>
    <w:rsid w:val="000C39C2"/>
    <w:rsid w:val="000C51C3"/>
    <w:rsid w:val="000D0559"/>
    <w:rsid w:val="000D112E"/>
    <w:rsid w:val="000D3BB8"/>
    <w:rsid w:val="000D63B3"/>
    <w:rsid w:val="000E3815"/>
    <w:rsid w:val="000E4299"/>
    <w:rsid w:val="000E65CF"/>
    <w:rsid w:val="000E7B41"/>
    <w:rsid w:val="000F0E02"/>
    <w:rsid w:val="00103627"/>
    <w:rsid w:val="001069CF"/>
    <w:rsid w:val="00106ED8"/>
    <w:rsid w:val="001070A7"/>
    <w:rsid w:val="00107FA6"/>
    <w:rsid w:val="001117E9"/>
    <w:rsid w:val="00113898"/>
    <w:rsid w:val="00113CA1"/>
    <w:rsid w:val="00113F10"/>
    <w:rsid w:val="001152BC"/>
    <w:rsid w:val="00116214"/>
    <w:rsid w:val="0011691F"/>
    <w:rsid w:val="00120338"/>
    <w:rsid w:val="00122FBF"/>
    <w:rsid w:val="001242AA"/>
    <w:rsid w:val="00125A0E"/>
    <w:rsid w:val="001309D9"/>
    <w:rsid w:val="00130EB2"/>
    <w:rsid w:val="00131718"/>
    <w:rsid w:val="001323DE"/>
    <w:rsid w:val="001335B5"/>
    <w:rsid w:val="00134E25"/>
    <w:rsid w:val="0013698E"/>
    <w:rsid w:val="00142F94"/>
    <w:rsid w:val="00146300"/>
    <w:rsid w:val="00147BA7"/>
    <w:rsid w:val="001509DA"/>
    <w:rsid w:val="00150D20"/>
    <w:rsid w:val="00152955"/>
    <w:rsid w:val="00155964"/>
    <w:rsid w:val="001560CE"/>
    <w:rsid w:val="00160BE0"/>
    <w:rsid w:val="0016111F"/>
    <w:rsid w:val="0016238D"/>
    <w:rsid w:val="00162F33"/>
    <w:rsid w:val="00163013"/>
    <w:rsid w:val="0016321A"/>
    <w:rsid w:val="00163669"/>
    <w:rsid w:val="001641FD"/>
    <w:rsid w:val="001648FC"/>
    <w:rsid w:val="00164E7D"/>
    <w:rsid w:val="00171D32"/>
    <w:rsid w:val="0017469A"/>
    <w:rsid w:val="001754E4"/>
    <w:rsid w:val="00181682"/>
    <w:rsid w:val="00181E1C"/>
    <w:rsid w:val="00182AB2"/>
    <w:rsid w:val="00183124"/>
    <w:rsid w:val="0018574D"/>
    <w:rsid w:val="00185CEE"/>
    <w:rsid w:val="00187A21"/>
    <w:rsid w:val="00190192"/>
    <w:rsid w:val="001924D6"/>
    <w:rsid w:val="00196062"/>
    <w:rsid w:val="00196203"/>
    <w:rsid w:val="00196D48"/>
    <w:rsid w:val="001A07DB"/>
    <w:rsid w:val="001A11BD"/>
    <w:rsid w:val="001A2942"/>
    <w:rsid w:val="001A2CED"/>
    <w:rsid w:val="001A3281"/>
    <w:rsid w:val="001A3812"/>
    <w:rsid w:val="001A3B97"/>
    <w:rsid w:val="001A606C"/>
    <w:rsid w:val="001B02FD"/>
    <w:rsid w:val="001B32C6"/>
    <w:rsid w:val="001B387C"/>
    <w:rsid w:val="001B589A"/>
    <w:rsid w:val="001C038E"/>
    <w:rsid w:val="001C1C3D"/>
    <w:rsid w:val="001C2838"/>
    <w:rsid w:val="001C2D17"/>
    <w:rsid w:val="001C5F17"/>
    <w:rsid w:val="001C66CD"/>
    <w:rsid w:val="001D0BF4"/>
    <w:rsid w:val="001E1098"/>
    <w:rsid w:val="001E112F"/>
    <w:rsid w:val="001E11E4"/>
    <w:rsid w:val="001E576C"/>
    <w:rsid w:val="001E589F"/>
    <w:rsid w:val="001E756B"/>
    <w:rsid w:val="001F33C2"/>
    <w:rsid w:val="001F5834"/>
    <w:rsid w:val="001F630C"/>
    <w:rsid w:val="001F652B"/>
    <w:rsid w:val="00200878"/>
    <w:rsid w:val="00202F95"/>
    <w:rsid w:val="00203753"/>
    <w:rsid w:val="002055F0"/>
    <w:rsid w:val="00205B08"/>
    <w:rsid w:val="00206115"/>
    <w:rsid w:val="002065E6"/>
    <w:rsid w:val="002076B8"/>
    <w:rsid w:val="00210557"/>
    <w:rsid w:val="002128AF"/>
    <w:rsid w:val="0021348B"/>
    <w:rsid w:val="00213808"/>
    <w:rsid w:val="002161AA"/>
    <w:rsid w:val="00216C39"/>
    <w:rsid w:val="00220515"/>
    <w:rsid w:val="0022126C"/>
    <w:rsid w:val="00224211"/>
    <w:rsid w:val="00225AF6"/>
    <w:rsid w:val="00226439"/>
    <w:rsid w:val="00226DDE"/>
    <w:rsid w:val="00230FE5"/>
    <w:rsid w:val="00231E74"/>
    <w:rsid w:val="0023446E"/>
    <w:rsid w:val="0023506A"/>
    <w:rsid w:val="002365FB"/>
    <w:rsid w:val="00236D38"/>
    <w:rsid w:val="00241851"/>
    <w:rsid w:val="00246134"/>
    <w:rsid w:val="00246D02"/>
    <w:rsid w:val="00251884"/>
    <w:rsid w:val="0025377B"/>
    <w:rsid w:val="0025379D"/>
    <w:rsid w:val="0025380E"/>
    <w:rsid w:val="00253DB1"/>
    <w:rsid w:val="00255CA5"/>
    <w:rsid w:val="00256A19"/>
    <w:rsid w:val="00256C3F"/>
    <w:rsid w:val="0026200C"/>
    <w:rsid w:val="00263C26"/>
    <w:rsid w:val="00263FA4"/>
    <w:rsid w:val="00265DA7"/>
    <w:rsid w:val="0026728B"/>
    <w:rsid w:val="00270C73"/>
    <w:rsid w:val="002738F3"/>
    <w:rsid w:val="00273ECE"/>
    <w:rsid w:val="00276ADC"/>
    <w:rsid w:val="00282777"/>
    <w:rsid w:val="00283E6C"/>
    <w:rsid w:val="002857BF"/>
    <w:rsid w:val="002877B5"/>
    <w:rsid w:val="00291197"/>
    <w:rsid w:val="00293751"/>
    <w:rsid w:val="00293AB2"/>
    <w:rsid w:val="00294F2B"/>
    <w:rsid w:val="00295E6F"/>
    <w:rsid w:val="00297140"/>
    <w:rsid w:val="00297892"/>
    <w:rsid w:val="002A05A0"/>
    <w:rsid w:val="002A18F1"/>
    <w:rsid w:val="002A21A0"/>
    <w:rsid w:val="002A4B2D"/>
    <w:rsid w:val="002A73EE"/>
    <w:rsid w:val="002B5A31"/>
    <w:rsid w:val="002B61D1"/>
    <w:rsid w:val="002B65CA"/>
    <w:rsid w:val="002B65CE"/>
    <w:rsid w:val="002C1596"/>
    <w:rsid w:val="002C2283"/>
    <w:rsid w:val="002C3D79"/>
    <w:rsid w:val="002C3EFB"/>
    <w:rsid w:val="002C47F0"/>
    <w:rsid w:val="002C4CE6"/>
    <w:rsid w:val="002D1833"/>
    <w:rsid w:val="002D58AD"/>
    <w:rsid w:val="002D67EF"/>
    <w:rsid w:val="002D6D02"/>
    <w:rsid w:val="002D786F"/>
    <w:rsid w:val="002D7883"/>
    <w:rsid w:val="002E1D03"/>
    <w:rsid w:val="002E3A25"/>
    <w:rsid w:val="002E45FE"/>
    <w:rsid w:val="002E50E2"/>
    <w:rsid w:val="002E73FF"/>
    <w:rsid w:val="002E75DC"/>
    <w:rsid w:val="002F1042"/>
    <w:rsid w:val="002F2AD3"/>
    <w:rsid w:val="002F6311"/>
    <w:rsid w:val="002F79FF"/>
    <w:rsid w:val="00304DBC"/>
    <w:rsid w:val="00313AD6"/>
    <w:rsid w:val="00313E35"/>
    <w:rsid w:val="00316D36"/>
    <w:rsid w:val="00317B21"/>
    <w:rsid w:val="00321E77"/>
    <w:rsid w:val="00323519"/>
    <w:rsid w:val="003253C2"/>
    <w:rsid w:val="00333999"/>
    <w:rsid w:val="00334BC4"/>
    <w:rsid w:val="00334C4F"/>
    <w:rsid w:val="00335C76"/>
    <w:rsid w:val="0033674D"/>
    <w:rsid w:val="00336CDC"/>
    <w:rsid w:val="003375A7"/>
    <w:rsid w:val="003379CB"/>
    <w:rsid w:val="00337D6E"/>
    <w:rsid w:val="00344FCE"/>
    <w:rsid w:val="00346E10"/>
    <w:rsid w:val="003542AC"/>
    <w:rsid w:val="003558F6"/>
    <w:rsid w:val="00356062"/>
    <w:rsid w:val="00362C82"/>
    <w:rsid w:val="00364A72"/>
    <w:rsid w:val="00365364"/>
    <w:rsid w:val="00371E55"/>
    <w:rsid w:val="00372C12"/>
    <w:rsid w:val="00372D67"/>
    <w:rsid w:val="00374C5F"/>
    <w:rsid w:val="00375828"/>
    <w:rsid w:val="00375928"/>
    <w:rsid w:val="0037761D"/>
    <w:rsid w:val="00377991"/>
    <w:rsid w:val="00382594"/>
    <w:rsid w:val="00382D78"/>
    <w:rsid w:val="00384BCD"/>
    <w:rsid w:val="00385F3D"/>
    <w:rsid w:val="003900EC"/>
    <w:rsid w:val="0039073A"/>
    <w:rsid w:val="00391500"/>
    <w:rsid w:val="00393C74"/>
    <w:rsid w:val="00396966"/>
    <w:rsid w:val="003975AB"/>
    <w:rsid w:val="00397799"/>
    <w:rsid w:val="003A085F"/>
    <w:rsid w:val="003A1142"/>
    <w:rsid w:val="003A1E0B"/>
    <w:rsid w:val="003B1AF5"/>
    <w:rsid w:val="003B22A6"/>
    <w:rsid w:val="003B4FD2"/>
    <w:rsid w:val="003B5412"/>
    <w:rsid w:val="003B5BFF"/>
    <w:rsid w:val="003C118A"/>
    <w:rsid w:val="003C195B"/>
    <w:rsid w:val="003D03B3"/>
    <w:rsid w:val="003D19A2"/>
    <w:rsid w:val="003D2DE0"/>
    <w:rsid w:val="003D3557"/>
    <w:rsid w:val="003D4A85"/>
    <w:rsid w:val="003D4C85"/>
    <w:rsid w:val="003D5E7E"/>
    <w:rsid w:val="003D60CB"/>
    <w:rsid w:val="003D683F"/>
    <w:rsid w:val="003D7A55"/>
    <w:rsid w:val="003E2719"/>
    <w:rsid w:val="003E36F6"/>
    <w:rsid w:val="003E4236"/>
    <w:rsid w:val="003E627C"/>
    <w:rsid w:val="003F4050"/>
    <w:rsid w:val="003F4C70"/>
    <w:rsid w:val="003F7A02"/>
    <w:rsid w:val="00400C12"/>
    <w:rsid w:val="004018E5"/>
    <w:rsid w:val="00404F88"/>
    <w:rsid w:val="00407F6C"/>
    <w:rsid w:val="0041301E"/>
    <w:rsid w:val="0041312E"/>
    <w:rsid w:val="0041463F"/>
    <w:rsid w:val="00415118"/>
    <w:rsid w:val="00415806"/>
    <w:rsid w:val="00415C78"/>
    <w:rsid w:val="00422537"/>
    <w:rsid w:val="004272A1"/>
    <w:rsid w:val="00427512"/>
    <w:rsid w:val="00427B19"/>
    <w:rsid w:val="0043119C"/>
    <w:rsid w:val="00432775"/>
    <w:rsid w:val="004334A4"/>
    <w:rsid w:val="00435B42"/>
    <w:rsid w:val="00441F26"/>
    <w:rsid w:val="00446176"/>
    <w:rsid w:val="00447C91"/>
    <w:rsid w:val="00447E59"/>
    <w:rsid w:val="00453792"/>
    <w:rsid w:val="004542D2"/>
    <w:rsid w:val="00454512"/>
    <w:rsid w:val="00457ED1"/>
    <w:rsid w:val="004612D7"/>
    <w:rsid w:val="0046576C"/>
    <w:rsid w:val="004679EE"/>
    <w:rsid w:val="0047121E"/>
    <w:rsid w:val="004740F8"/>
    <w:rsid w:val="00474A5A"/>
    <w:rsid w:val="00475FD8"/>
    <w:rsid w:val="00477407"/>
    <w:rsid w:val="004810D5"/>
    <w:rsid w:val="00482B3D"/>
    <w:rsid w:val="0048656A"/>
    <w:rsid w:val="00486EC9"/>
    <w:rsid w:val="00492533"/>
    <w:rsid w:val="004A32F8"/>
    <w:rsid w:val="004A3E43"/>
    <w:rsid w:val="004A5BF9"/>
    <w:rsid w:val="004B205D"/>
    <w:rsid w:val="004B41D1"/>
    <w:rsid w:val="004B5915"/>
    <w:rsid w:val="004B67C9"/>
    <w:rsid w:val="004B7594"/>
    <w:rsid w:val="004B7956"/>
    <w:rsid w:val="004C4E88"/>
    <w:rsid w:val="004C52A3"/>
    <w:rsid w:val="004C6739"/>
    <w:rsid w:val="004D1A26"/>
    <w:rsid w:val="004D1BC1"/>
    <w:rsid w:val="004D2E53"/>
    <w:rsid w:val="004E0E63"/>
    <w:rsid w:val="004E19FD"/>
    <w:rsid w:val="004E1FFA"/>
    <w:rsid w:val="004E27EB"/>
    <w:rsid w:val="004E29AF"/>
    <w:rsid w:val="004E3A0C"/>
    <w:rsid w:val="004E6D1A"/>
    <w:rsid w:val="004E79D0"/>
    <w:rsid w:val="004E7EE1"/>
    <w:rsid w:val="004F09CD"/>
    <w:rsid w:val="004F227E"/>
    <w:rsid w:val="004F2E5B"/>
    <w:rsid w:val="004F4A31"/>
    <w:rsid w:val="00500941"/>
    <w:rsid w:val="00501A1B"/>
    <w:rsid w:val="00501D1F"/>
    <w:rsid w:val="00510DE1"/>
    <w:rsid w:val="005155E3"/>
    <w:rsid w:val="00516396"/>
    <w:rsid w:val="00516823"/>
    <w:rsid w:val="00522F00"/>
    <w:rsid w:val="005277C8"/>
    <w:rsid w:val="005277F9"/>
    <w:rsid w:val="0053016A"/>
    <w:rsid w:val="005313E8"/>
    <w:rsid w:val="00531884"/>
    <w:rsid w:val="00532B70"/>
    <w:rsid w:val="00534C14"/>
    <w:rsid w:val="005363B1"/>
    <w:rsid w:val="00541B6D"/>
    <w:rsid w:val="005421A8"/>
    <w:rsid w:val="00542665"/>
    <w:rsid w:val="00543067"/>
    <w:rsid w:val="005438BA"/>
    <w:rsid w:val="005451AF"/>
    <w:rsid w:val="00547577"/>
    <w:rsid w:val="0054783D"/>
    <w:rsid w:val="005522AB"/>
    <w:rsid w:val="005538D9"/>
    <w:rsid w:val="005545A2"/>
    <w:rsid w:val="005546A1"/>
    <w:rsid w:val="00557CAF"/>
    <w:rsid w:val="00560216"/>
    <w:rsid w:val="005611DD"/>
    <w:rsid w:val="005612C5"/>
    <w:rsid w:val="0056168A"/>
    <w:rsid w:val="005648DC"/>
    <w:rsid w:val="00572640"/>
    <w:rsid w:val="00575D79"/>
    <w:rsid w:val="0057749E"/>
    <w:rsid w:val="005775C2"/>
    <w:rsid w:val="00582627"/>
    <w:rsid w:val="00583100"/>
    <w:rsid w:val="005848D9"/>
    <w:rsid w:val="00586D63"/>
    <w:rsid w:val="00587478"/>
    <w:rsid w:val="00596CC1"/>
    <w:rsid w:val="00597083"/>
    <w:rsid w:val="005A020F"/>
    <w:rsid w:val="005A6DA6"/>
    <w:rsid w:val="005A75CB"/>
    <w:rsid w:val="005B2137"/>
    <w:rsid w:val="005B2FE1"/>
    <w:rsid w:val="005B401F"/>
    <w:rsid w:val="005C1C61"/>
    <w:rsid w:val="005C3119"/>
    <w:rsid w:val="005C4091"/>
    <w:rsid w:val="005C483A"/>
    <w:rsid w:val="005C514C"/>
    <w:rsid w:val="005C63AC"/>
    <w:rsid w:val="005C66E8"/>
    <w:rsid w:val="005D16B8"/>
    <w:rsid w:val="005D24CD"/>
    <w:rsid w:val="005D3556"/>
    <w:rsid w:val="005D5A28"/>
    <w:rsid w:val="005D71E7"/>
    <w:rsid w:val="005E0B66"/>
    <w:rsid w:val="005E1B04"/>
    <w:rsid w:val="005E2977"/>
    <w:rsid w:val="005E2B82"/>
    <w:rsid w:val="005E4F47"/>
    <w:rsid w:val="005E5890"/>
    <w:rsid w:val="005E5DF8"/>
    <w:rsid w:val="005E71D5"/>
    <w:rsid w:val="005E7F00"/>
    <w:rsid w:val="005F1737"/>
    <w:rsid w:val="005F3C6C"/>
    <w:rsid w:val="005F51F7"/>
    <w:rsid w:val="005F536E"/>
    <w:rsid w:val="005F7B66"/>
    <w:rsid w:val="0060357E"/>
    <w:rsid w:val="0060365F"/>
    <w:rsid w:val="00611377"/>
    <w:rsid w:val="00612416"/>
    <w:rsid w:val="00613E1D"/>
    <w:rsid w:val="00615344"/>
    <w:rsid w:val="00617BF8"/>
    <w:rsid w:val="006200BD"/>
    <w:rsid w:val="0062082E"/>
    <w:rsid w:val="0062245F"/>
    <w:rsid w:val="006234C9"/>
    <w:rsid w:val="00626F73"/>
    <w:rsid w:val="0062766C"/>
    <w:rsid w:val="00630159"/>
    <w:rsid w:val="0063216D"/>
    <w:rsid w:val="006347FD"/>
    <w:rsid w:val="00641890"/>
    <w:rsid w:val="00644628"/>
    <w:rsid w:val="00645960"/>
    <w:rsid w:val="006468F7"/>
    <w:rsid w:val="00653A18"/>
    <w:rsid w:val="006546ED"/>
    <w:rsid w:val="00654A51"/>
    <w:rsid w:val="00657471"/>
    <w:rsid w:val="00661961"/>
    <w:rsid w:val="00661E81"/>
    <w:rsid w:val="0066436B"/>
    <w:rsid w:val="00666310"/>
    <w:rsid w:val="006674A9"/>
    <w:rsid w:val="00667933"/>
    <w:rsid w:val="006702FE"/>
    <w:rsid w:val="0067181F"/>
    <w:rsid w:val="006719E5"/>
    <w:rsid w:val="00675419"/>
    <w:rsid w:val="00675B56"/>
    <w:rsid w:val="006762DC"/>
    <w:rsid w:val="00677212"/>
    <w:rsid w:val="00680B76"/>
    <w:rsid w:val="00680CEB"/>
    <w:rsid w:val="00681091"/>
    <w:rsid w:val="0068211F"/>
    <w:rsid w:val="006828C8"/>
    <w:rsid w:val="00682FBE"/>
    <w:rsid w:val="006834F6"/>
    <w:rsid w:val="00686C06"/>
    <w:rsid w:val="00692273"/>
    <w:rsid w:val="006923C6"/>
    <w:rsid w:val="006933C9"/>
    <w:rsid w:val="00693EB9"/>
    <w:rsid w:val="00695CB4"/>
    <w:rsid w:val="0069777F"/>
    <w:rsid w:val="00697BBF"/>
    <w:rsid w:val="006A0BA2"/>
    <w:rsid w:val="006A3088"/>
    <w:rsid w:val="006A4BAF"/>
    <w:rsid w:val="006A5FC6"/>
    <w:rsid w:val="006B001B"/>
    <w:rsid w:val="006B04A9"/>
    <w:rsid w:val="006B0934"/>
    <w:rsid w:val="006B1416"/>
    <w:rsid w:val="006B1C1E"/>
    <w:rsid w:val="006B2AF5"/>
    <w:rsid w:val="006B3443"/>
    <w:rsid w:val="006B4204"/>
    <w:rsid w:val="006B6000"/>
    <w:rsid w:val="006B7E6D"/>
    <w:rsid w:val="006C1798"/>
    <w:rsid w:val="006C3CC9"/>
    <w:rsid w:val="006C4548"/>
    <w:rsid w:val="006C458E"/>
    <w:rsid w:val="006C4A93"/>
    <w:rsid w:val="006D119E"/>
    <w:rsid w:val="006D26B5"/>
    <w:rsid w:val="006D320B"/>
    <w:rsid w:val="006D3A38"/>
    <w:rsid w:val="006D5418"/>
    <w:rsid w:val="006D6B23"/>
    <w:rsid w:val="006D6B5A"/>
    <w:rsid w:val="006E0C81"/>
    <w:rsid w:val="006E1E4E"/>
    <w:rsid w:val="006E2B4C"/>
    <w:rsid w:val="006E4317"/>
    <w:rsid w:val="006E6E4B"/>
    <w:rsid w:val="006F1563"/>
    <w:rsid w:val="006F2D42"/>
    <w:rsid w:val="006F414C"/>
    <w:rsid w:val="006F7203"/>
    <w:rsid w:val="006F774C"/>
    <w:rsid w:val="006F7942"/>
    <w:rsid w:val="007011AF"/>
    <w:rsid w:val="0071037E"/>
    <w:rsid w:val="007111EF"/>
    <w:rsid w:val="00711872"/>
    <w:rsid w:val="00715340"/>
    <w:rsid w:val="007153C1"/>
    <w:rsid w:val="00717B51"/>
    <w:rsid w:val="00720BEE"/>
    <w:rsid w:val="00720F6D"/>
    <w:rsid w:val="007228EC"/>
    <w:rsid w:val="0072459E"/>
    <w:rsid w:val="00724A0E"/>
    <w:rsid w:val="00731DDE"/>
    <w:rsid w:val="0073278E"/>
    <w:rsid w:val="00733A11"/>
    <w:rsid w:val="00736916"/>
    <w:rsid w:val="007413CE"/>
    <w:rsid w:val="00743DD9"/>
    <w:rsid w:val="00744D3A"/>
    <w:rsid w:val="007452D0"/>
    <w:rsid w:val="007576C8"/>
    <w:rsid w:val="0076151B"/>
    <w:rsid w:val="007616D2"/>
    <w:rsid w:val="00765AFB"/>
    <w:rsid w:val="00766ACD"/>
    <w:rsid w:val="00766C58"/>
    <w:rsid w:val="00766FDE"/>
    <w:rsid w:val="00774DD5"/>
    <w:rsid w:val="00775386"/>
    <w:rsid w:val="007847CF"/>
    <w:rsid w:val="007919F6"/>
    <w:rsid w:val="00794977"/>
    <w:rsid w:val="0079705D"/>
    <w:rsid w:val="007A0158"/>
    <w:rsid w:val="007A03AE"/>
    <w:rsid w:val="007A3A63"/>
    <w:rsid w:val="007A68D8"/>
    <w:rsid w:val="007B0D73"/>
    <w:rsid w:val="007B1974"/>
    <w:rsid w:val="007B5761"/>
    <w:rsid w:val="007C3211"/>
    <w:rsid w:val="007D256E"/>
    <w:rsid w:val="007D356B"/>
    <w:rsid w:val="007D4F6C"/>
    <w:rsid w:val="007D7245"/>
    <w:rsid w:val="007E08BC"/>
    <w:rsid w:val="007E19A4"/>
    <w:rsid w:val="007E2067"/>
    <w:rsid w:val="007E339D"/>
    <w:rsid w:val="007E4B88"/>
    <w:rsid w:val="007E72E2"/>
    <w:rsid w:val="007F3927"/>
    <w:rsid w:val="007F53B3"/>
    <w:rsid w:val="007F5907"/>
    <w:rsid w:val="007F7D89"/>
    <w:rsid w:val="007F7FCE"/>
    <w:rsid w:val="008006D3"/>
    <w:rsid w:val="00801D8C"/>
    <w:rsid w:val="00802DF7"/>
    <w:rsid w:val="00804943"/>
    <w:rsid w:val="00805118"/>
    <w:rsid w:val="00807467"/>
    <w:rsid w:val="00807FEC"/>
    <w:rsid w:val="00810974"/>
    <w:rsid w:val="00812DDF"/>
    <w:rsid w:val="00815355"/>
    <w:rsid w:val="0081636B"/>
    <w:rsid w:val="00821A66"/>
    <w:rsid w:val="00823C63"/>
    <w:rsid w:val="00825E38"/>
    <w:rsid w:val="00830622"/>
    <w:rsid w:val="00831A6F"/>
    <w:rsid w:val="00832698"/>
    <w:rsid w:val="008327A6"/>
    <w:rsid w:val="0083502E"/>
    <w:rsid w:val="00835F80"/>
    <w:rsid w:val="00836122"/>
    <w:rsid w:val="00843298"/>
    <w:rsid w:val="008459AE"/>
    <w:rsid w:val="00846193"/>
    <w:rsid w:val="00846A4D"/>
    <w:rsid w:val="00854208"/>
    <w:rsid w:val="008544CA"/>
    <w:rsid w:val="0085569D"/>
    <w:rsid w:val="00856C2D"/>
    <w:rsid w:val="00860DB5"/>
    <w:rsid w:val="008645AA"/>
    <w:rsid w:val="008721D1"/>
    <w:rsid w:val="00884D06"/>
    <w:rsid w:val="00891DEE"/>
    <w:rsid w:val="00892ABE"/>
    <w:rsid w:val="00893903"/>
    <w:rsid w:val="00894B92"/>
    <w:rsid w:val="00894EC1"/>
    <w:rsid w:val="00896B04"/>
    <w:rsid w:val="008A10E7"/>
    <w:rsid w:val="008A3D6E"/>
    <w:rsid w:val="008A4B31"/>
    <w:rsid w:val="008A53BB"/>
    <w:rsid w:val="008A5BCB"/>
    <w:rsid w:val="008B10E8"/>
    <w:rsid w:val="008B1C4F"/>
    <w:rsid w:val="008B3C2C"/>
    <w:rsid w:val="008B68E6"/>
    <w:rsid w:val="008B757B"/>
    <w:rsid w:val="008C1061"/>
    <w:rsid w:val="008D0490"/>
    <w:rsid w:val="008D13E6"/>
    <w:rsid w:val="008D1495"/>
    <w:rsid w:val="008D2269"/>
    <w:rsid w:val="008D3578"/>
    <w:rsid w:val="008D35E7"/>
    <w:rsid w:val="008D4278"/>
    <w:rsid w:val="008D583C"/>
    <w:rsid w:val="008D79E4"/>
    <w:rsid w:val="008E0A00"/>
    <w:rsid w:val="008E2631"/>
    <w:rsid w:val="008E6AE6"/>
    <w:rsid w:val="008F7865"/>
    <w:rsid w:val="008F7E82"/>
    <w:rsid w:val="00906079"/>
    <w:rsid w:val="00906321"/>
    <w:rsid w:val="009077C3"/>
    <w:rsid w:val="009149F1"/>
    <w:rsid w:val="009222F9"/>
    <w:rsid w:val="0092271A"/>
    <w:rsid w:val="00922E4E"/>
    <w:rsid w:val="00924871"/>
    <w:rsid w:val="00925424"/>
    <w:rsid w:val="00927061"/>
    <w:rsid w:val="00927223"/>
    <w:rsid w:val="00927815"/>
    <w:rsid w:val="00931CBC"/>
    <w:rsid w:val="00932F48"/>
    <w:rsid w:val="0093652A"/>
    <w:rsid w:val="00937681"/>
    <w:rsid w:val="009379AF"/>
    <w:rsid w:val="00940BDE"/>
    <w:rsid w:val="00942FB2"/>
    <w:rsid w:val="009461CD"/>
    <w:rsid w:val="009461F3"/>
    <w:rsid w:val="0094664C"/>
    <w:rsid w:val="00946EF7"/>
    <w:rsid w:val="00947FA8"/>
    <w:rsid w:val="009521A7"/>
    <w:rsid w:val="0095477D"/>
    <w:rsid w:val="009560AD"/>
    <w:rsid w:val="00957DFF"/>
    <w:rsid w:val="00960EE6"/>
    <w:rsid w:val="00963274"/>
    <w:rsid w:val="0096642B"/>
    <w:rsid w:val="00970CC2"/>
    <w:rsid w:val="00973E14"/>
    <w:rsid w:val="00975345"/>
    <w:rsid w:val="00977020"/>
    <w:rsid w:val="0097719C"/>
    <w:rsid w:val="00980A81"/>
    <w:rsid w:val="009835D0"/>
    <w:rsid w:val="0099151F"/>
    <w:rsid w:val="00993D97"/>
    <w:rsid w:val="00996508"/>
    <w:rsid w:val="00996629"/>
    <w:rsid w:val="009A11C2"/>
    <w:rsid w:val="009A2DF6"/>
    <w:rsid w:val="009A342C"/>
    <w:rsid w:val="009A3A01"/>
    <w:rsid w:val="009A4EB0"/>
    <w:rsid w:val="009B43D2"/>
    <w:rsid w:val="009B568F"/>
    <w:rsid w:val="009C0132"/>
    <w:rsid w:val="009C0BB7"/>
    <w:rsid w:val="009C1CF7"/>
    <w:rsid w:val="009C1E29"/>
    <w:rsid w:val="009C281E"/>
    <w:rsid w:val="009C7431"/>
    <w:rsid w:val="009D3873"/>
    <w:rsid w:val="009D4D49"/>
    <w:rsid w:val="009D575B"/>
    <w:rsid w:val="009D7267"/>
    <w:rsid w:val="009E0A4B"/>
    <w:rsid w:val="009E229F"/>
    <w:rsid w:val="009E4871"/>
    <w:rsid w:val="009E6C00"/>
    <w:rsid w:val="009E7B22"/>
    <w:rsid w:val="009F0445"/>
    <w:rsid w:val="009F61A2"/>
    <w:rsid w:val="00A007BE"/>
    <w:rsid w:val="00A00B5D"/>
    <w:rsid w:val="00A02166"/>
    <w:rsid w:val="00A0464E"/>
    <w:rsid w:val="00A05F6F"/>
    <w:rsid w:val="00A11239"/>
    <w:rsid w:val="00A12178"/>
    <w:rsid w:val="00A130E4"/>
    <w:rsid w:val="00A139DE"/>
    <w:rsid w:val="00A140B6"/>
    <w:rsid w:val="00A14D92"/>
    <w:rsid w:val="00A16188"/>
    <w:rsid w:val="00A17449"/>
    <w:rsid w:val="00A178C0"/>
    <w:rsid w:val="00A20691"/>
    <w:rsid w:val="00A21AE6"/>
    <w:rsid w:val="00A23C37"/>
    <w:rsid w:val="00A24532"/>
    <w:rsid w:val="00A27420"/>
    <w:rsid w:val="00A319DF"/>
    <w:rsid w:val="00A3334B"/>
    <w:rsid w:val="00A33B49"/>
    <w:rsid w:val="00A353BC"/>
    <w:rsid w:val="00A365A4"/>
    <w:rsid w:val="00A367C3"/>
    <w:rsid w:val="00A40776"/>
    <w:rsid w:val="00A421AB"/>
    <w:rsid w:val="00A43D5B"/>
    <w:rsid w:val="00A44C8E"/>
    <w:rsid w:val="00A44FB7"/>
    <w:rsid w:val="00A542F1"/>
    <w:rsid w:val="00A55FFD"/>
    <w:rsid w:val="00A56134"/>
    <w:rsid w:val="00A56623"/>
    <w:rsid w:val="00A568F5"/>
    <w:rsid w:val="00A63D68"/>
    <w:rsid w:val="00A6596D"/>
    <w:rsid w:val="00A65B8F"/>
    <w:rsid w:val="00A66468"/>
    <w:rsid w:val="00A707F5"/>
    <w:rsid w:val="00A719FC"/>
    <w:rsid w:val="00A73399"/>
    <w:rsid w:val="00A750DF"/>
    <w:rsid w:val="00A80A4D"/>
    <w:rsid w:val="00A81158"/>
    <w:rsid w:val="00A850BF"/>
    <w:rsid w:val="00A85F37"/>
    <w:rsid w:val="00A90920"/>
    <w:rsid w:val="00A90B07"/>
    <w:rsid w:val="00A92E17"/>
    <w:rsid w:val="00A965A8"/>
    <w:rsid w:val="00AA012F"/>
    <w:rsid w:val="00AA0C61"/>
    <w:rsid w:val="00AA1AC3"/>
    <w:rsid w:val="00AA41A8"/>
    <w:rsid w:val="00AB5212"/>
    <w:rsid w:val="00AC4401"/>
    <w:rsid w:val="00AD3AB0"/>
    <w:rsid w:val="00AD3FF9"/>
    <w:rsid w:val="00AD4325"/>
    <w:rsid w:val="00AE0F9C"/>
    <w:rsid w:val="00AE1F25"/>
    <w:rsid w:val="00AF1170"/>
    <w:rsid w:val="00AF5641"/>
    <w:rsid w:val="00AF56CF"/>
    <w:rsid w:val="00AF7432"/>
    <w:rsid w:val="00B02419"/>
    <w:rsid w:val="00B03396"/>
    <w:rsid w:val="00B03D01"/>
    <w:rsid w:val="00B04165"/>
    <w:rsid w:val="00B0639A"/>
    <w:rsid w:val="00B13D04"/>
    <w:rsid w:val="00B14EF9"/>
    <w:rsid w:val="00B17D24"/>
    <w:rsid w:val="00B20A5D"/>
    <w:rsid w:val="00B20B61"/>
    <w:rsid w:val="00B21B2A"/>
    <w:rsid w:val="00B226FA"/>
    <w:rsid w:val="00B23C8D"/>
    <w:rsid w:val="00B246F4"/>
    <w:rsid w:val="00B304E6"/>
    <w:rsid w:val="00B3328B"/>
    <w:rsid w:val="00B345B9"/>
    <w:rsid w:val="00B377D9"/>
    <w:rsid w:val="00B40D3F"/>
    <w:rsid w:val="00B41035"/>
    <w:rsid w:val="00B42B25"/>
    <w:rsid w:val="00B4328B"/>
    <w:rsid w:val="00B45B92"/>
    <w:rsid w:val="00B4629A"/>
    <w:rsid w:val="00B519E2"/>
    <w:rsid w:val="00B5232F"/>
    <w:rsid w:val="00B52698"/>
    <w:rsid w:val="00B52CF6"/>
    <w:rsid w:val="00B5416A"/>
    <w:rsid w:val="00B55D94"/>
    <w:rsid w:val="00B605EF"/>
    <w:rsid w:val="00B610C5"/>
    <w:rsid w:val="00B62BE9"/>
    <w:rsid w:val="00B66235"/>
    <w:rsid w:val="00B6645D"/>
    <w:rsid w:val="00B67BF8"/>
    <w:rsid w:val="00B70581"/>
    <w:rsid w:val="00B72E4C"/>
    <w:rsid w:val="00B76984"/>
    <w:rsid w:val="00B772EB"/>
    <w:rsid w:val="00B820A0"/>
    <w:rsid w:val="00B83A48"/>
    <w:rsid w:val="00B84517"/>
    <w:rsid w:val="00B87954"/>
    <w:rsid w:val="00B91FFB"/>
    <w:rsid w:val="00B94630"/>
    <w:rsid w:val="00B96305"/>
    <w:rsid w:val="00B97E20"/>
    <w:rsid w:val="00BA1DA8"/>
    <w:rsid w:val="00BA3A30"/>
    <w:rsid w:val="00BA3CCE"/>
    <w:rsid w:val="00BA54F6"/>
    <w:rsid w:val="00BA669A"/>
    <w:rsid w:val="00BA6DB2"/>
    <w:rsid w:val="00BA709F"/>
    <w:rsid w:val="00BA7EA8"/>
    <w:rsid w:val="00BB0141"/>
    <w:rsid w:val="00BB0229"/>
    <w:rsid w:val="00BB0622"/>
    <w:rsid w:val="00BB0D3B"/>
    <w:rsid w:val="00BB46AF"/>
    <w:rsid w:val="00BB5117"/>
    <w:rsid w:val="00BB5A04"/>
    <w:rsid w:val="00BB6931"/>
    <w:rsid w:val="00BB7FD0"/>
    <w:rsid w:val="00BC3EE8"/>
    <w:rsid w:val="00BC472A"/>
    <w:rsid w:val="00BC5BB4"/>
    <w:rsid w:val="00BC61B4"/>
    <w:rsid w:val="00BC7FF0"/>
    <w:rsid w:val="00BD324A"/>
    <w:rsid w:val="00BD7B86"/>
    <w:rsid w:val="00BE282B"/>
    <w:rsid w:val="00BE33F7"/>
    <w:rsid w:val="00BE5506"/>
    <w:rsid w:val="00BE7452"/>
    <w:rsid w:val="00BE771D"/>
    <w:rsid w:val="00BF1C6C"/>
    <w:rsid w:val="00BF7E27"/>
    <w:rsid w:val="00C02816"/>
    <w:rsid w:val="00C0518D"/>
    <w:rsid w:val="00C0632F"/>
    <w:rsid w:val="00C06F3E"/>
    <w:rsid w:val="00C07203"/>
    <w:rsid w:val="00C1019B"/>
    <w:rsid w:val="00C1176F"/>
    <w:rsid w:val="00C11D8B"/>
    <w:rsid w:val="00C1257E"/>
    <w:rsid w:val="00C12B66"/>
    <w:rsid w:val="00C138F5"/>
    <w:rsid w:val="00C16461"/>
    <w:rsid w:val="00C236A3"/>
    <w:rsid w:val="00C24259"/>
    <w:rsid w:val="00C250B1"/>
    <w:rsid w:val="00C26296"/>
    <w:rsid w:val="00C31CD5"/>
    <w:rsid w:val="00C355C2"/>
    <w:rsid w:val="00C355E0"/>
    <w:rsid w:val="00C36E09"/>
    <w:rsid w:val="00C40813"/>
    <w:rsid w:val="00C40F8A"/>
    <w:rsid w:val="00C42343"/>
    <w:rsid w:val="00C44472"/>
    <w:rsid w:val="00C478EF"/>
    <w:rsid w:val="00C5104B"/>
    <w:rsid w:val="00C515FA"/>
    <w:rsid w:val="00C54848"/>
    <w:rsid w:val="00C61C63"/>
    <w:rsid w:val="00C62701"/>
    <w:rsid w:val="00C62F80"/>
    <w:rsid w:val="00C662BF"/>
    <w:rsid w:val="00C671CA"/>
    <w:rsid w:val="00C67AB5"/>
    <w:rsid w:val="00C7025E"/>
    <w:rsid w:val="00C72BD7"/>
    <w:rsid w:val="00C72DB4"/>
    <w:rsid w:val="00C81245"/>
    <w:rsid w:val="00C81861"/>
    <w:rsid w:val="00C875D4"/>
    <w:rsid w:val="00C87910"/>
    <w:rsid w:val="00C91FE1"/>
    <w:rsid w:val="00C927EB"/>
    <w:rsid w:val="00C940E3"/>
    <w:rsid w:val="00C97F51"/>
    <w:rsid w:val="00CA1734"/>
    <w:rsid w:val="00CA2D7D"/>
    <w:rsid w:val="00CA3B92"/>
    <w:rsid w:val="00CA44D7"/>
    <w:rsid w:val="00CA5A1A"/>
    <w:rsid w:val="00CA60FE"/>
    <w:rsid w:val="00CA77B1"/>
    <w:rsid w:val="00CB21C9"/>
    <w:rsid w:val="00CB23A1"/>
    <w:rsid w:val="00CB34ED"/>
    <w:rsid w:val="00CB58AD"/>
    <w:rsid w:val="00CB5D2D"/>
    <w:rsid w:val="00CB72BE"/>
    <w:rsid w:val="00CC2C79"/>
    <w:rsid w:val="00CC3BE0"/>
    <w:rsid w:val="00CC3D0F"/>
    <w:rsid w:val="00CD1B90"/>
    <w:rsid w:val="00CD4399"/>
    <w:rsid w:val="00CD47A1"/>
    <w:rsid w:val="00CD4A4E"/>
    <w:rsid w:val="00CD60E0"/>
    <w:rsid w:val="00CD68F2"/>
    <w:rsid w:val="00CD7DD5"/>
    <w:rsid w:val="00CE2EAF"/>
    <w:rsid w:val="00CE583D"/>
    <w:rsid w:val="00CE7319"/>
    <w:rsid w:val="00CF145B"/>
    <w:rsid w:val="00CF34A4"/>
    <w:rsid w:val="00CF447D"/>
    <w:rsid w:val="00CF53BE"/>
    <w:rsid w:val="00D005CE"/>
    <w:rsid w:val="00D00778"/>
    <w:rsid w:val="00D0178F"/>
    <w:rsid w:val="00D0330C"/>
    <w:rsid w:val="00D04303"/>
    <w:rsid w:val="00D10BCE"/>
    <w:rsid w:val="00D11F56"/>
    <w:rsid w:val="00D1220A"/>
    <w:rsid w:val="00D12D48"/>
    <w:rsid w:val="00D138B5"/>
    <w:rsid w:val="00D13CBC"/>
    <w:rsid w:val="00D14D9B"/>
    <w:rsid w:val="00D15575"/>
    <w:rsid w:val="00D1591C"/>
    <w:rsid w:val="00D16468"/>
    <w:rsid w:val="00D20A98"/>
    <w:rsid w:val="00D21431"/>
    <w:rsid w:val="00D26810"/>
    <w:rsid w:val="00D26888"/>
    <w:rsid w:val="00D30A61"/>
    <w:rsid w:val="00D30B3F"/>
    <w:rsid w:val="00D31AF1"/>
    <w:rsid w:val="00D3212F"/>
    <w:rsid w:val="00D3428D"/>
    <w:rsid w:val="00D348AF"/>
    <w:rsid w:val="00D36A03"/>
    <w:rsid w:val="00D4422A"/>
    <w:rsid w:val="00D50922"/>
    <w:rsid w:val="00D5122D"/>
    <w:rsid w:val="00D565C8"/>
    <w:rsid w:val="00D5692F"/>
    <w:rsid w:val="00D56E0A"/>
    <w:rsid w:val="00D573BB"/>
    <w:rsid w:val="00D600DB"/>
    <w:rsid w:val="00D602A9"/>
    <w:rsid w:val="00D61E54"/>
    <w:rsid w:val="00D65C83"/>
    <w:rsid w:val="00D65F93"/>
    <w:rsid w:val="00D6651D"/>
    <w:rsid w:val="00D6739D"/>
    <w:rsid w:val="00D7019E"/>
    <w:rsid w:val="00D72F16"/>
    <w:rsid w:val="00D7442B"/>
    <w:rsid w:val="00D77BA4"/>
    <w:rsid w:val="00D81BFE"/>
    <w:rsid w:val="00D81F15"/>
    <w:rsid w:val="00D833FE"/>
    <w:rsid w:val="00D86E92"/>
    <w:rsid w:val="00D91E08"/>
    <w:rsid w:val="00D91FD9"/>
    <w:rsid w:val="00D92C1F"/>
    <w:rsid w:val="00D93BF4"/>
    <w:rsid w:val="00D948CA"/>
    <w:rsid w:val="00D94EAC"/>
    <w:rsid w:val="00D9535F"/>
    <w:rsid w:val="00DA14FB"/>
    <w:rsid w:val="00DB1F66"/>
    <w:rsid w:val="00DB2C02"/>
    <w:rsid w:val="00DB3761"/>
    <w:rsid w:val="00DB5118"/>
    <w:rsid w:val="00DB7046"/>
    <w:rsid w:val="00DB7E4A"/>
    <w:rsid w:val="00DC176C"/>
    <w:rsid w:val="00DC27A8"/>
    <w:rsid w:val="00DC33F8"/>
    <w:rsid w:val="00DC4388"/>
    <w:rsid w:val="00DC4A47"/>
    <w:rsid w:val="00DC5A60"/>
    <w:rsid w:val="00DD432E"/>
    <w:rsid w:val="00DE2657"/>
    <w:rsid w:val="00DF1076"/>
    <w:rsid w:val="00DF3544"/>
    <w:rsid w:val="00DF5CF1"/>
    <w:rsid w:val="00DF635E"/>
    <w:rsid w:val="00DF793F"/>
    <w:rsid w:val="00E007EE"/>
    <w:rsid w:val="00E0099C"/>
    <w:rsid w:val="00E009CD"/>
    <w:rsid w:val="00E009F2"/>
    <w:rsid w:val="00E0143C"/>
    <w:rsid w:val="00E01F9C"/>
    <w:rsid w:val="00E02234"/>
    <w:rsid w:val="00E02897"/>
    <w:rsid w:val="00E0521E"/>
    <w:rsid w:val="00E054B1"/>
    <w:rsid w:val="00E06FCB"/>
    <w:rsid w:val="00E1556C"/>
    <w:rsid w:val="00E2431F"/>
    <w:rsid w:val="00E27C3B"/>
    <w:rsid w:val="00E36215"/>
    <w:rsid w:val="00E36F31"/>
    <w:rsid w:val="00E40615"/>
    <w:rsid w:val="00E41EB6"/>
    <w:rsid w:val="00E45CB5"/>
    <w:rsid w:val="00E47CB1"/>
    <w:rsid w:val="00E47E44"/>
    <w:rsid w:val="00E503F5"/>
    <w:rsid w:val="00E5147B"/>
    <w:rsid w:val="00E514C5"/>
    <w:rsid w:val="00E55611"/>
    <w:rsid w:val="00E61652"/>
    <w:rsid w:val="00E61B72"/>
    <w:rsid w:val="00E63280"/>
    <w:rsid w:val="00E646DB"/>
    <w:rsid w:val="00E6573C"/>
    <w:rsid w:val="00E67D7B"/>
    <w:rsid w:val="00E754FB"/>
    <w:rsid w:val="00E756EB"/>
    <w:rsid w:val="00E80673"/>
    <w:rsid w:val="00E83FC5"/>
    <w:rsid w:val="00E90C52"/>
    <w:rsid w:val="00E91B5A"/>
    <w:rsid w:val="00E955D9"/>
    <w:rsid w:val="00E96829"/>
    <w:rsid w:val="00E97843"/>
    <w:rsid w:val="00E978B2"/>
    <w:rsid w:val="00EA0E1E"/>
    <w:rsid w:val="00EA3ADD"/>
    <w:rsid w:val="00EA59F5"/>
    <w:rsid w:val="00EA790F"/>
    <w:rsid w:val="00EA7C51"/>
    <w:rsid w:val="00EB0C80"/>
    <w:rsid w:val="00EB24D9"/>
    <w:rsid w:val="00EB46A6"/>
    <w:rsid w:val="00EB5988"/>
    <w:rsid w:val="00EC073E"/>
    <w:rsid w:val="00EC0D5D"/>
    <w:rsid w:val="00EC14BB"/>
    <w:rsid w:val="00EC4C9D"/>
    <w:rsid w:val="00EC7214"/>
    <w:rsid w:val="00ED1FA4"/>
    <w:rsid w:val="00ED4C7B"/>
    <w:rsid w:val="00ED55E6"/>
    <w:rsid w:val="00EE0EA0"/>
    <w:rsid w:val="00EE3393"/>
    <w:rsid w:val="00EE4BD8"/>
    <w:rsid w:val="00EE66BB"/>
    <w:rsid w:val="00EF19E0"/>
    <w:rsid w:val="00EF1F6C"/>
    <w:rsid w:val="00EF2DF3"/>
    <w:rsid w:val="00EF37AF"/>
    <w:rsid w:val="00EF3FA3"/>
    <w:rsid w:val="00EF6B6C"/>
    <w:rsid w:val="00F0227E"/>
    <w:rsid w:val="00F05665"/>
    <w:rsid w:val="00F10CBC"/>
    <w:rsid w:val="00F12CB4"/>
    <w:rsid w:val="00F14A7A"/>
    <w:rsid w:val="00F208B5"/>
    <w:rsid w:val="00F21D90"/>
    <w:rsid w:val="00F225D0"/>
    <w:rsid w:val="00F2573E"/>
    <w:rsid w:val="00F274F3"/>
    <w:rsid w:val="00F322BA"/>
    <w:rsid w:val="00F34347"/>
    <w:rsid w:val="00F35097"/>
    <w:rsid w:val="00F35823"/>
    <w:rsid w:val="00F36355"/>
    <w:rsid w:val="00F426CF"/>
    <w:rsid w:val="00F42A42"/>
    <w:rsid w:val="00F4520D"/>
    <w:rsid w:val="00F464BB"/>
    <w:rsid w:val="00F47DB2"/>
    <w:rsid w:val="00F51414"/>
    <w:rsid w:val="00F525ED"/>
    <w:rsid w:val="00F61472"/>
    <w:rsid w:val="00F62002"/>
    <w:rsid w:val="00F62D0B"/>
    <w:rsid w:val="00F6343A"/>
    <w:rsid w:val="00F64473"/>
    <w:rsid w:val="00F64895"/>
    <w:rsid w:val="00F66D48"/>
    <w:rsid w:val="00F67DCD"/>
    <w:rsid w:val="00F7097B"/>
    <w:rsid w:val="00F71EAF"/>
    <w:rsid w:val="00F728B3"/>
    <w:rsid w:val="00F72B2D"/>
    <w:rsid w:val="00F733B6"/>
    <w:rsid w:val="00F73922"/>
    <w:rsid w:val="00F77480"/>
    <w:rsid w:val="00F81B33"/>
    <w:rsid w:val="00F82E26"/>
    <w:rsid w:val="00F83B77"/>
    <w:rsid w:val="00F8522C"/>
    <w:rsid w:val="00F86918"/>
    <w:rsid w:val="00F87550"/>
    <w:rsid w:val="00F90ECE"/>
    <w:rsid w:val="00F9131C"/>
    <w:rsid w:val="00F92B9E"/>
    <w:rsid w:val="00F96B08"/>
    <w:rsid w:val="00FA1568"/>
    <w:rsid w:val="00FA1612"/>
    <w:rsid w:val="00FA23D4"/>
    <w:rsid w:val="00FA313E"/>
    <w:rsid w:val="00FA3693"/>
    <w:rsid w:val="00FA3D4D"/>
    <w:rsid w:val="00FA59EC"/>
    <w:rsid w:val="00FB1200"/>
    <w:rsid w:val="00FB2DED"/>
    <w:rsid w:val="00FB5730"/>
    <w:rsid w:val="00FB6384"/>
    <w:rsid w:val="00FB689F"/>
    <w:rsid w:val="00FB731B"/>
    <w:rsid w:val="00FC0879"/>
    <w:rsid w:val="00FC0D56"/>
    <w:rsid w:val="00FC38D6"/>
    <w:rsid w:val="00FC62E9"/>
    <w:rsid w:val="00FC6AF9"/>
    <w:rsid w:val="00FC7E2C"/>
    <w:rsid w:val="00FD0A11"/>
    <w:rsid w:val="00FD3F83"/>
    <w:rsid w:val="00FD7692"/>
    <w:rsid w:val="00FE12C3"/>
    <w:rsid w:val="00FE2ABE"/>
    <w:rsid w:val="00FE4B28"/>
    <w:rsid w:val="00FE4CE3"/>
    <w:rsid w:val="00FE5DF8"/>
    <w:rsid w:val="00FE6638"/>
    <w:rsid w:val="00FE6A0F"/>
    <w:rsid w:val="00FE6D63"/>
    <w:rsid w:val="00FE6E9D"/>
    <w:rsid w:val="00FE7028"/>
    <w:rsid w:val="00FF03F4"/>
    <w:rsid w:val="00FF403E"/>
    <w:rsid w:val="00FF6794"/>
    <w:rsid w:val="00FF787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0771B2"/>
  <w14:defaultImageDpi w14:val="0"/>
  <w15:docId w15:val="{26188C61-46D4-4DBF-A520-4BCD066A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rPr>
  </w:style>
  <w:style w:type="paragraph" w:styleId="Titre1">
    <w:name w:val="heading 1"/>
    <w:basedOn w:val="Normal"/>
    <w:next w:val="Normal"/>
    <w:link w:val="Titre1Car"/>
    <w:uiPriority w:val="99"/>
    <w:qFormat/>
    <w:pPr>
      <w:keepNext/>
      <w:outlineLvl w:val="0"/>
    </w:pPr>
    <w:rPr>
      <w:rFonts w:ascii="Arial" w:hAnsi="Arial" w:cs="Arial"/>
      <w:b/>
      <w:bCs/>
      <w:u w:val="single"/>
    </w:rPr>
  </w:style>
  <w:style w:type="paragraph" w:styleId="Titre2">
    <w:name w:val="heading 2"/>
    <w:basedOn w:val="Normal"/>
    <w:next w:val="Normal"/>
    <w:link w:val="Titre2Car"/>
    <w:uiPriority w:val="9"/>
    <w:semiHidden/>
    <w:unhideWhenUsed/>
    <w:qFormat/>
    <w:rsid w:val="00B97E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9">
    <w:name w:val="heading 9"/>
    <w:basedOn w:val="Normal"/>
    <w:next w:val="Normal"/>
    <w:link w:val="Titre9Car"/>
    <w:uiPriority w:val="9"/>
    <w:semiHidden/>
    <w:unhideWhenUsed/>
    <w:qFormat/>
    <w:rsid w:val="005E7F00"/>
    <w:pPr>
      <w:spacing w:before="240" w:after="60" w:line="276" w:lineRule="auto"/>
      <w:outlineLvl w:val="8"/>
    </w:pPr>
    <w:rPr>
      <w:rFonts w:ascii="Calibri Light" w:hAnsi="Calibri Light"/>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Pr>
      <w:rFonts w:ascii="Cambria" w:hAnsi="Cambria" w:cs="Cambria"/>
      <w:b/>
      <w:bCs/>
      <w:kern w:val="32"/>
      <w:sz w:val="32"/>
      <w:szCs w:val="32"/>
    </w:rPr>
  </w:style>
  <w:style w:type="paragraph" w:customStyle="1" w:styleId="Niveauducommentaire11">
    <w:name w:val="Niveau du commentaire : 11"/>
    <w:basedOn w:val="Normal"/>
    <w:uiPriority w:val="99"/>
    <w:pPr>
      <w:keepNext/>
      <w:numPr>
        <w:numId w:val="1"/>
      </w:numPr>
      <w:outlineLvl w:val="0"/>
    </w:pPr>
    <w:rPr>
      <w:rFonts w:ascii="Verdana" w:eastAsia="MS Gothi" w:hAnsi="Verdana" w:cs="Verdana"/>
    </w:rPr>
  </w:style>
  <w:style w:type="paragraph" w:customStyle="1" w:styleId="Niveauducommentaire21">
    <w:name w:val="Niveau du commentaire : 21"/>
    <w:basedOn w:val="Normal"/>
    <w:uiPriority w:val="99"/>
    <w:pPr>
      <w:keepNext/>
      <w:numPr>
        <w:ilvl w:val="1"/>
        <w:numId w:val="1"/>
      </w:numPr>
      <w:outlineLvl w:val="1"/>
    </w:pPr>
    <w:rPr>
      <w:rFonts w:ascii="Verdana" w:eastAsia="MS Gothi" w:hAnsi="Verdana" w:cs="Verdana"/>
    </w:rPr>
  </w:style>
  <w:style w:type="paragraph" w:customStyle="1" w:styleId="Niveauducommentaire31">
    <w:name w:val="Niveau du commentaire : 31"/>
    <w:basedOn w:val="Normal"/>
    <w:uiPriority w:val="99"/>
    <w:pPr>
      <w:keepNext/>
      <w:numPr>
        <w:ilvl w:val="2"/>
        <w:numId w:val="1"/>
      </w:numPr>
      <w:outlineLvl w:val="2"/>
    </w:pPr>
    <w:rPr>
      <w:rFonts w:ascii="Verdana" w:eastAsia="MS Gothi" w:hAnsi="Verdana" w:cs="Verdana"/>
    </w:rPr>
  </w:style>
  <w:style w:type="paragraph" w:customStyle="1" w:styleId="Niveauducommentaire41">
    <w:name w:val="Niveau du commentaire : 41"/>
    <w:basedOn w:val="Normal"/>
    <w:uiPriority w:val="99"/>
    <w:pPr>
      <w:keepNext/>
      <w:numPr>
        <w:ilvl w:val="3"/>
        <w:numId w:val="1"/>
      </w:numPr>
      <w:outlineLvl w:val="3"/>
    </w:pPr>
    <w:rPr>
      <w:rFonts w:ascii="Verdana" w:eastAsia="MS Gothi" w:hAnsi="Verdana" w:cs="Verdana"/>
    </w:rPr>
  </w:style>
  <w:style w:type="paragraph" w:customStyle="1" w:styleId="Niveauducommentaire51">
    <w:name w:val="Niveau du commentaire : 51"/>
    <w:basedOn w:val="Normal"/>
    <w:uiPriority w:val="99"/>
    <w:pPr>
      <w:keepNext/>
      <w:numPr>
        <w:ilvl w:val="4"/>
        <w:numId w:val="1"/>
      </w:numPr>
      <w:outlineLvl w:val="4"/>
    </w:pPr>
    <w:rPr>
      <w:rFonts w:ascii="Verdana" w:eastAsia="MS Gothi" w:hAnsi="Verdana" w:cs="Verdana"/>
    </w:rPr>
  </w:style>
  <w:style w:type="paragraph" w:customStyle="1" w:styleId="Niveauducommentaire61">
    <w:name w:val="Niveau du commentaire : 61"/>
    <w:basedOn w:val="Normal"/>
    <w:uiPriority w:val="99"/>
    <w:pPr>
      <w:keepNext/>
      <w:numPr>
        <w:ilvl w:val="5"/>
        <w:numId w:val="1"/>
      </w:numPr>
      <w:outlineLvl w:val="5"/>
    </w:pPr>
    <w:rPr>
      <w:rFonts w:ascii="Verdana" w:eastAsia="MS Gothi" w:hAnsi="Verdana" w:cs="Verdana"/>
    </w:rPr>
  </w:style>
  <w:style w:type="paragraph" w:customStyle="1" w:styleId="Niveauducommentaire71">
    <w:name w:val="Niveau du commentaire : 71"/>
    <w:basedOn w:val="Normal"/>
    <w:uiPriority w:val="99"/>
    <w:pPr>
      <w:keepNext/>
      <w:numPr>
        <w:ilvl w:val="6"/>
        <w:numId w:val="1"/>
      </w:numPr>
      <w:outlineLvl w:val="6"/>
    </w:pPr>
    <w:rPr>
      <w:rFonts w:ascii="Verdana" w:eastAsia="MS Gothi" w:hAnsi="Verdana" w:cs="Verdana"/>
    </w:rPr>
  </w:style>
  <w:style w:type="paragraph" w:customStyle="1" w:styleId="Niveauducommentaire81">
    <w:name w:val="Niveau du commentaire : 81"/>
    <w:basedOn w:val="Normal"/>
    <w:uiPriority w:val="99"/>
    <w:pPr>
      <w:keepNext/>
      <w:numPr>
        <w:ilvl w:val="7"/>
        <w:numId w:val="1"/>
      </w:numPr>
      <w:outlineLvl w:val="7"/>
    </w:pPr>
    <w:rPr>
      <w:rFonts w:ascii="Verdana" w:eastAsia="MS Gothi" w:hAnsi="Verdana" w:cs="Verdana"/>
    </w:rPr>
  </w:style>
  <w:style w:type="paragraph" w:customStyle="1" w:styleId="Niveauducommentaire91">
    <w:name w:val="Niveau du commentaire : 91"/>
    <w:basedOn w:val="Normal"/>
    <w:uiPriority w:val="99"/>
    <w:pPr>
      <w:keepNext/>
      <w:numPr>
        <w:ilvl w:val="8"/>
        <w:numId w:val="1"/>
      </w:numPr>
      <w:outlineLvl w:val="8"/>
    </w:pPr>
    <w:rPr>
      <w:rFonts w:ascii="Verdana" w:eastAsia="MS Gothi" w:hAnsi="Verdana" w:cs="Verdana"/>
    </w:rPr>
  </w:style>
  <w:style w:type="paragraph" w:styleId="Textedebulles">
    <w:name w:val="Balloon Text"/>
    <w:basedOn w:val="Normal"/>
    <w:link w:val="TextedebullesCar"/>
    <w:uiPriority w:val="99"/>
    <w:rPr>
      <w:rFonts w:ascii="Tahoma" w:hAnsi="Tahoma" w:cs="Tahoma"/>
      <w:sz w:val="16"/>
      <w:szCs w:val="16"/>
    </w:rPr>
  </w:style>
  <w:style w:type="character" w:customStyle="1" w:styleId="TextedebullesCar">
    <w:name w:val="Texte de bulles Car"/>
    <w:link w:val="Textedebulles"/>
    <w:uiPriority w:val="99"/>
    <w:locked/>
    <w:rPr>
      <w:rFonts w:ascii="Tahoma" w:hAnsi="Tahoma" w:cs="Tahoma"/>
      <w:sz w:val="16"/>
      <w:szCs w:val="16"/>
    </w:rPr>
  </w:style>
  <w:style w:type="paragraph" w:styleId="Rvision">
    <w:name w:val="Revision"/>
    <w:hidden/>
    <w:uiPriority w:val="99"/>
    <w:rPr>
      <w:rFonts w:ascii="Times New Roman" w:hAnsi="Times New Roman"/>
      <w:sz w:val="24"/>
      <w:szCs w:val="24"/>
    </w:rPr>
  </w:style>
  <w:style w:type="paragraph" w:styleId="Corpsdetexte">
    <w:name w:val="Body Text"/>
    <w:basedOn w:val="Normal"/>
    <w:link w:val="CorpsdetexteCar"/>
    <w:uiPriority w:val="99"/>
    <w:pPr>
      <w:jc w:val="both"/>
    </w:pPr>
    <w:rPr>
      <w:rFonts w:ascii="Arial" w:hAnsi="Arial" w:cs="Arial"/>
    </w:rPr>
  </w:style>
  <w:style w:type="character" w:customStyle="1" w:styleId="CorpsdetexteCar">
    <w:name w:val="Corps de texte Car"/>
    <w:link w:val="Corpsdetexte"/>
    <w:uiPriority w:val="99"/>
    <w:locked/>
    <w:rPr>
      <w:rFonts w:ascii="Times New Roman" w:hAnsi="Times New Roman" w:cs="Times New Roman"/>
      <w:sz w:val="24"/>
      <w:szCs w:val="24"/>
    </w:rPr>
  </w:style>
  <w:style w:type="paragraph" w:styleId="Corpsdetexte2">
    <w:name w:val="Body Text 2"/>
    <w:basedOn w:val="Normal"/>
    <w:link w:val="Corpsdetexte2Car"/>
    <w:uiPriority w:val="99"/>
    <w:rPr>
      <w:rFonts w:ascii="Arial" w:hAnsi="Arial" w:cs="Arial"/>
      <w:b/>
      <w:bCs/>
      <w:color w:val="0000FF"/>
    </w:rPr>
  </w:style>
  <w:style w:type="character" w:customStyle="1" w:styleId="Corpsdetexte2Car">
    <w:name w:val="Corps de texte 2 Car"/>
    <w:link w:val="Corpsdetexte2"/>
    <w:uiPriority w:val="99"/>
    <w:locked/>
    <w:rPr>
      <w:rFonts w:ascii="Times New Roman" w:hAnsi="Times New Roman" w:cs="Times New Roman"/>
      <w:sz w:val="24"/>
      <w:szCs w:val="24"/>
    </w:rPr>
  </w:style>
  <w:style w:type="paragraph" w:styleId="Retraitcorpsdetexte2">
    <w:name w:val="Body Text Indent 2"/>
    <w:basedOn w:val="Normal"/>
    <w:link w:val="Retraitcorpsdetexte2Car"/>
    <w:uiPriority w:val="99"/>
    <w:pPr>
      <w:tabs>
        <w:tab w:val="num" w:pos="360"/>
      </w:tabs>
      <w:ind w:left="360" w:hanging="720"/>
    </w:pPr>
    <w:rPr>
      <w:rFonts w:ascii="Arial" w:hAnsi="Arial" w:cs="Arial"/>
    </w:rPr>
  </w:style>
  <w:style w:type="character" w:customStyle="1" w:styleId="Retraitcorpsdetexte2Car">
    <w:name w:val="Retrait corps de texte 2 Car"/>
    <w:link w:val="Retraitcorpsdetexte2"/>
    <w:uiPriority w:val="99"/>
    <w:locked/>
    <w:rPr>
      <w:rFonts w:ascii="Times New Roman" w:hAnsi="Times New Roman" w:cs="Times New Roman"/>
      <w:sz w:val="24"/>
      <w:szCs w:val="24"/>
    </w:rPr>
  </w:style>
  <w:style w:type="paragraph" w:customStyle="1" w:styleId="Adresse">
    <w:name w:val="Adresse"/>
    <w:basedOn w:val="Normal"/>
    <w:uiPriority w:val="99"/>
    <w:pPr>
      <w:widowControl w:val="0"/>
      <w:ind w:left="5387" w:right="283"/>
    </w:pPr>
    <w:rPr>
      <w:sz w:val="22"/>
      <w:szCs w:val="22"/>
    </w:rPr>
  </w:style>
  <w:style w:type="character" w:styleId="Lienhypertexte">
    <w:name w:val="Hyperlink"/>
    <w:uiPriority w:val="99"/>
    <w:rPr>
      <w:rFonts w:ascii="Times New Roman" w:hAnsi="Times New Roman" w:cs="Times New Roman"/>
      <w:color w:val="0000FF"/>
      <w:u w:val="single"/>
    </w:rPr>
  </w:style>
  <w:style w:type="paragraph" w:styleId="Paragraphedeliste">
    <w:name w:val="List Paragraph"/>
    <w:basedOn w:val="Normal"/>
    <w:uiPriority w:val="34"/>
    <w:qFormat/>
    <w:rsid w:val="00835F80"/>
    <w:pPr>
      <w:ind w:left="708"/>
    </w:pPr>
  </w:style>
  <w:style w:type="table" w:styleId="Grilledutableau">
    <w:name w:val="Table Grid"/>
    <w:basedOn w:val="TableauNormal"/>
    <w:uiPriority w:val="39"/>
    <w:rsid w:val="00F3434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C66E8"/>
    <w:pPr>
      <w:spacing w:before="100" w:beforeAutospacing="1" w:after="100" w:afterAutospacing="1"/>
    </w:pPr>
  </w:style>
  <w:style w:type="paragraph" w:customStyle="1" w:styleId="Default">
    <w:name w:val="Default"/>
    <w:rsid w:val="005538D9"/>
    <w:pPr>
      <w:autoSpaceDE w:val="0"/>
      <w:autoSpaceDN w:val="0"/>
      <w:adjustRightInd w:val="0"/>
    </w:pPr>
    <w:rPr>
      <w:rFonts w:ascii="Cambria" w:hAnsi="Cambria" w:cs="Cambria"/>
      <w:color w:val="000000"/>
      <w:sz w:val="24"/>
      <w:szCs w:val="24"/>
    </w:rPr>
  </w:style>
  <w:style w:type="character" w:styleId="Marquedecommentaire">
    <w:name w:val="annotation reference"/>
    <w:basedOn w:val="Policepardfaut"/>
    <w:uiPriority w:val="99"/>
    <w:semiHidden/>
    <w:unhideWhenUsed/>
    <w:rsid w:val="001B589A"/>
    <w:rPr>
      <w:sz w:val="18"/>
      <w:szCs w:val="18"/>
    </w:rPr>
  </w:style>
  <w:style w:type="paragraph" w:styleId="Commentaire">
    <w:name w:val="annotation text"/>
    <w:basedOn w:val="Normal"/>
    <w:link w:val="CommentaireCar"/>
    <w:uiPriority w:val="99"/>
    <w:semiHidden/>
    <w:unhideWhenUsed/>
    <w:rsid w:val="001B589A"/>
  </w:style>
  <w:style w:type="character" w:customStyle="1" w:styleId="CommentaireCar">
    <w:name w:val="Commentaire Car"/>
    <w:basedOn w:val="Policepardfaut"/>
    <w:link w:val="Commentaire"/>
    <w:uiPriority w:val="99"/>
    <w:semiHidden/>
    <w:rsid w:val="001B589A"/>
    <w:rPr>
      <w:rFonts w:ascii="Times New Roman" w:hAnsi="Times New Roman"/>
      <w:sz w:val="24"/>
      <w:szCs w:val="24"/>
    </w:rPr>
  </w:style>
  <w:style w:type="paragraph" w:styleId="Objetducommentaire">
    <w:name w:val="annotation subject"/>
    <w:basedOn w:val="Commentaire"/>
    <w:next w:val="Commentaire"/>
    <w:link w:val="ObjetducommentaireCar"/>
    <w:uiPriority w:val="99"/>
    <w:semiHidden/>
    <w:unhideWhenUsed/>
    <w:rsid w:val="001B589A"/>
    <w:rPr>
      <w:b/>
      <w:bCs/>
      <w:sz w:val="20"/>
      <w:szCs w:val="20"/>
    </w:rPr>
  </w:style>
  <w:style w:type="character" w:customStyle="1" w:styleId="ObjetducommentaireCar">
    <w:name w:val="Objet du commentaire Car"/>
    <w:basedOn w:val="CommentaireCar"/>
    <w:link w:val="Objetducommentaire"/>
    <w:uiPriority w:val="99"/>
    <w:semiHidden/>
    <w:rsid w:val="001B589A"/>
    <w:rPr>
      <w:rFonts w:ascii="Times New Roman" w:hAnsi="Times New Roman"/>
      <w:b/>
      <w:bCs/>
      <w:sz w:val="24"/>
      <w:szCs w:val="24"/>
    </w:rPr>
  </w:style>
  <w:style w:type="paragraph" w:styleId="En-tte">
    <w:name w:val="header"/>
    <w:basedOn w:val="Normal"/>
    <w:link w:val="En-tteCar"/>
    <w:uiPriority w:val="99"/>
    <w:unhideWhenUsed/>
    <w:rsid w:val="0008085C"/>
    <w:pPr>
      <w:tabs>
        <w:tab w:val="center" w:pos="4536"/>
        <w:tab w:val="right" w:pos="9072"/>
      </w:tabs>
    </w:pPr>
  </w:style>
  <w:style w:type="character" w:customStyle="1" w:styleId="En-tteCar">
    <w:name w:val="En-tête Car"/>
    <w:basedOn w:val="Policepardfaut"/>
    <w:link w:val="En-tte"/>
    <w:uiPriority w:val="99"/>
    <w:rsid w:val="0008085C"/>
    <w:rPr>
      <w:rFonts w:ascii="Times New Roman" w:hAnsi="Times New Roman"/>
      <w:sz w:val="24"/>
      <w:szCs w:val="24"/>
    </w:rPr>
  </w:style>
  <w:style w:type="paragraph" w:styleId="Pieddepage">
    <w:name w:val="footer"/>
    <w:basedOn w:val="Normal"/>
    <w:link w:val="PieddepageCar"/>
    <w:uiPriority w:val="99"/>
    <w:unhideWhenUsed/>
    <w:rsid w:val="0008085C"/>
    <w:pPr>
      <w:tabs>
        <w:tab w:val="center" w:pos="4536"/>
        <w:tab w:val="right" w:pos="9072"/>
      </w:tabs>
    </w:pPr>
  </w:style>
  <w:style w:type="character" w:customStyle="1" w:styleId="PieddepageCar">
    <w:name w:val="Pied de page Car"/>
    <w:basedOn w:val="Policepardfaut"/>
    <w:link w:val="Pieddepage"/>
    <w:uiPriority w:val="99"/>
    <w:rsid w:val="0008085C"/>
    <w:rPr>
      <w:rFonts w:ascii="Times New Roman" w:hAnsi="Times New Roman"/>
      <w:sz w:val="24"/>
      <w:szCs w:val="24"/>
    </w:rPr>
  </w:style>
  <w:style w:type="paragraph" w:customStyle="1" w:styleId="Paragraphedeliste1">
    <w:name w:val="Paragraphe de liste1"/>
    <w:basedOn w:val="Normal"/>
    <w:rsid w:val="004F09CD"/>
    <w:pPr>
      <w:ind w:left="720"/>
      <w:contextualSpacing/>
    </w:pPr>
    <w:rPr>
      <w:rFonts w:eastAsia="Calibri"/>
    </w:rPr>
  </w:style>
  <w:style w:type="character" w:customStyle="1" w:styleId="rwrro">
    <w:name w:val="rwrro"/>
    <w:basedOn w:val="Policepardfaut"/>
    <w:rsid w:val="005611DD"/>
  </w:style>
  <w:style w:type="character" w:customStyle="1" w:styleId="rpc411">
    <w:name w:val="_rpc_411"/>
    <w:basedOn w:val="Policepardfaut"/>
    <w:rsid w:val="00FA3D4D"/>
  </w:style>
  <w:style w:type="character" w:customStyle="1" w:styleId="jrnl">
    <w:name w:val="jrnl"/>
    <w:basedOn w:val="Policepardfaut"/>
    <w:rsid w:val="00A90920"/>
  </w:style>
  <w:style w:type="character" w:customStyle="1" w:styleId="Titre9Car">
    <w:name w:val="Titre 9 Car"/>
    <w:basedOn w:val="Policepardfaut"/>
    <w:link w:val="Titre9"/>
    <w:uiPriority w:val="9"/>
    <w:semiHidden/>
    <w:rsid w:val="005E7F00"/>
    <w:rPr>
      <w:rFonts w:ascii="Calibri Light" w:hAnsi="Calibri Light"/>
      <w:sz w:val="22"/>
      <w:szCs w:val="22"/>
      <w:lang w:eastAsia="en-US"/>
    </w:rPr>
  </w:style>
  <w:style w:type="character" w:customStyle="1" w:styleId="Titre2Car">
    <w:name w:val="Titre 2 Car"/>
    <w:basedOn w:val="Policepardfaut"/>
    <w:link w:val="Titre2"/>
    <w:uiPriority w:val="9"/>
    <w:semiHidden/>
    <w:rsid w:val="00B97E20"/>
    <w:rPr>
      <w:rFonts w:asciiTheme="majorHAnsi" w:eastAsiaTheme="majorEastAsia" w:hAnsiTheme="majorHAnsi" w:cstheme="majorBidi"/>
      <w:b/>
      <w:bCs/>
      <w:color w:val="4F81BD" w:themeColor="accent1"/>
      <w:sz w:val="26"/>
      <w:szCs w:val="26"/>
    </w:rPr>
  </w:style>
  <w:style w:type="paragraph" w:styleId="Bibliographie">
    <w:name w:val="Bibliography"/>
    <w:basedOn w:val="Normal"/>
    <w:next w:val="Normal"/>
    <w:uiPriority w:val="37"/>
    <w:semiHidden/>
    <w:unhideWhenUsed/>
    <w:rsid w:val="00E41EB6"/>
  </w:style>
  <w:style w:type="character" w:styleId="lev">
    <w:name w:val="Strong"/>
    <w:uiPriority w:val="22"/>
    <w:qFormat/>
    <w:rsid w:val="002C4CE6"/>
    <w:rPr>
      <w:b/>
      <w:bCs/>
    </w:rPr>
  </w:style>
  <w:style w:type="paragraph" w:styleId="Titre">
    <w:name w:val="Title"/>
    <w:basedOn w:val="Normal"/>
    <w:link w:val="TitreCar"/>
    <w:qFormat/>
    <w:rsid w:val="00A007BE"/>
    <w:pPr>
      <w:jc w:val="center"/>
    </w:pPr>
    <w:rPr>
      <w:rFonts w:ascii="Times" w:eastAsia="Times" w:hAnsi="Times"/>
      <w:b/>
      <w:sz w:val="28"/>
      <w:szCs w:val="20"/>
      <w:u w:val="single"/>
    </w:rPr>
  </w:style>
  <w:style w:type="character" w:customStyle="1" w:styleId="TitreCar">
    <w:name w:val="Titre Car"/>
    <w:basedOn w:val="Policepardfaut"/>
    <w:link w:val="Titre"/>
    <w:rsid w:val="00A007BE"/>
    <w:rPr>
      <w:rFonts w:ascii="Times" w:eastAsia="Times" w:hAnsi="Times"/>
      <w:b/>
      <w:sz w:val="28"/>
      <w:u w:val="single"/>
    </w:rPr>
  </w:style>
  <w:style w:type="character" w:customStyle="1" w:styleId="docsum-authors">
    <w:name w:val="docsum-authors"/>
    <w:rsid w:val="003D3557"/>
  </w:style>
  <w:style w:type="character" w:customStyle="1" w:styleId="docsum-journal-citation">
    <w:name w:val="docsum-journal-citation"/>
    <w:rsid w:val="003D3557"/>
  </w:style>
  <w:style w:type="paragraph" w:styleId="Sansinterligne">
    <w:name w:val="No Spacing"/>
    <w:uiPriority w:val="1"/>
    <w:qFormat/>
    <w:rsid w:val="005F7B66"/>
    <w:rPr>
      <w:rFonts w:asciiTheme="minorHAnsi" w:eastAsiaTheme="minorHAnsi" w:hAnsiTheme="minorHAnsi" w:cstheme="minorBidi"/>
      <w:sz w:val="24"/>
      <w:szCs w:val="24"/>
      <w:lang w:eastAsia="en-US"/>
    </w:rPr>
  </w:style>
  <w:style w:type="character" w:customStyle="1" w:styleId="rpc41">
    <w:name w:val="_rpc_41"/>
    <w:basedOn w:val="Policepardfaut"/>
    <w:rsid w:val="00E91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507">
      <w:bodyDiv w:val="1"/>
      <w:marLeft w:val="0"/>
      <w:marRight w:val="0"/>
      <w:marTop w:val="0"/>
      <w:marBottom w:val="0"/>
      <w:divBdr>
        <w:top w:val="none" w:sz="0" w:space="0" w:color="auto"/>
        <w:left w:val="none" w:sz="0" w:space="0" w:color="auto"/>
        <w:bottom w:val="none" w:sz="0" w:space="0" w:color="auto"/>
        <w:right w:val="none" w:sz="0" w:space="0" w:color="auto"/>
      </w:divBdr>
    </w:div>
    <w:div w:id="43991289">
      <w:bodyDiv w:val="1"/>
      <w:marLeft w:val="0"/>
      <w:marRight w:val="0"/>
      <w:marTop w:val="0"/>
      <w:marBottom w:val="0"/>
      <w:divBdr>
        <w:top w:val="none" w:sz="0" w:space="0" w:color="auto"/>
        <w:left w:val="none" w:sz="0" w:space="0" w:color="auto"/>
        <w:bottom w:val="none" w:sz="0" w:space="0" w:color="auto"/>
        <w:right w:val="none" w:sz="0" w:space="0" w:color="auto"/>
      </w:divBdr>
    </w:div>
    <w:div w:id="87653117">
      <w:bodyDiv w:val="1"/>
      <w:marLeft w:val="0"/>
      <w:marRight w:val="0"/>
      <w:marTop w:val="0"/>
      <w:marBottom w:val="0"/>
      <w:divBdr>
        <w:top w:val="none" w:sz="0" w:space="0" w:color="auto"/>
        <w:left w:val="none" w:sz="0" w:space="0" w:color="auto"/>
        <w:bottom w:val="none" w:sz="0" w:space="0" w:color="auto"/>
        <w:right w:val="none" w:sz="0" w:space="0" w:color="auto"/>
      </w:divBdr>
    </w:div>
    <w:div w:id="89276317">
      <w:bodyDiv w:val="1"/>
      <w:marLeft w:val="0"/>
      <w:marRight w:val="0"/>
      <w:marTop w:val="0"/>
      <w:marBottom w:val="0"/>
      <w:divBdr>
        <w:top w:val="none" w:sz="0" w:space="0" w:color="auto"/>
        <w:left w:val="none" w:sz="0" w:space="0" w:color="auto"/>
        <w:bottom w:val="none" w:sz="0" w:space="0" w:color="auto"/>
        <w:right w:val="none" w:sz="0" w:space="0" w:color="auto"/>
      </w:divBdr>
    </w:div>
    <w:div w:id="108551732">
      <w:bodyDiv w:val="1"/>
      <w:marLeft w:val="0"/>
      <w:marRight w:val="0"/>
      <w:marTop w:val="0"/>
      <w:marBottom w:val="0"/>
      <w:divBdr>
        <w:top w:val="none" w:sz="0" w:space="0" w:color="auto"/>
        <w:left w:val="none" w:sz="0" w:space="0" w:color="auto"/>
        <w:bottom w:val="none" w:sz="0" w:space="0" w:color="auto"/>
        <w:right w:val="none" w:sz="0" w:space="0" w:color="auto"/>
      </w:divBdr>
    </w:div>
    <w:div w:id="153185680">
      <w:bodyDiv w:val="1"/>
      <w:marLeft w:val="0"/>
      <w:marRight w:val="0"/>
      <w:marTop w:val="0"/>
      <w:marBottom w:val="0"/>
      <w:divBdr>
        <w:top w:val="none" w:sz="0" w:space="0" w:color="auto"/>
        <w:left w:val="none" w:sz="0" w:space="0" w:color="auto"/>
        <w:bottom w:val="none" w:sz="0" w:space="0" w:color="auto"/>
        <w:right w:val="none" w:sz="0" w:space="0" w:color="auto"/>
      </w:divBdr>
    </w:div>
    <w:div w:id="254872668">
      <w:bodyDiv w:val="1"/>
      <w:marLeft w:val="0"/>
      <w:marRight w:val="0"/>
      <w:marTop w:val="0"/>
      <w:marBottom w:val="0"/>
      <w:divBdr>
        <w:top w:val="none" w:sz="0" w:space="0" w:color="auto"/>
        <w:left w:val="none" w:sz="0" w:space="0" w:color="auto"/>
        <w:bottom w:val="none" w:sz="0" w:space="0" w:color="auto"/>
        <w:right w:val="none" w:sz="0" w:space="0" w:color="auto"/>
      </w:divBdr>
    </w:div>
    <w:div w:id="330718744">
      <w:bodyDiv w:val="1"/>
      <w:marLeft w:val="0"/>
      <w:marRight w:val="0"/>
      <w:marTop w:val="0"/>
      <w:marBottom w:val="0"/>
      <w:divBdr>
        <w:top w:val="none" w:sz="0" w:space="0" w:color="auto"/>
        <w:left w:val="none" w:sz="0" w:space="0" w:color="auto"/>
        <w:bottom w:val="none" w:sz="0" w:space="0" w:color="auto"/>
        <w:right w:val="none" w:sz="0" w:space="0" w:color="auto"/>
      </w:divBdr>
    </w:div>
    <w:div w:id="457575615">
      <w:bodyDiv w:val="1"/>
      <w:marLeft w:val="0"/>
      <w:marRight w:val="0"/>
      <w:marTop w:val="0"/>
      <w:marBottom w:val="0"/>
      <w:divBdr>
        <w:top w:val="none" w:sz="0" w:space="0" w:color="auto"/>
        <w:left w:val="none" w:sz="0" w:space="0" w:color="auto"/>
        <w:bottom w:val="none" w:sz="0" w:space="0" w:color="auto"/>
        <w:right w:val="none" w:sz="0" w:space="0" w:color="auto"/>
      </w:divBdr>
    </w:div>
    <w:div w:id="521747483">
      <w:bodyDiv w:val="1"/>
      <w:marLeft w:val="0"/>
      <w:marRight w:val="0"/>
      <w:marTop w:val="0"/>
      <w:marBottom w:val="0"/>
      <w:divBdr>
        <w:top w:val="none" w:sz="0" w:space="0" w:color="auto"/>
        <w:left w:val="none" w:sz="0" w:space="0" w:color="auto"/>
        <w:bottom w:val="none" w:sz="0" w:space="0" w:color="auto"/>
        <w:right w:val="none" w:sz="0" w:space="0" w:color="auto"/>
      </w:divBdr>
      <w:divsChild>
        <w:div w:id="1436169217">
          <w:marLeft w:val="547"/>
          <w:marRight w:val="0"/>
          <w:marTop w:val="200"/>
          <w:marBottom w:val="0"/>
          <w:divBdr>
            <w:top w:val="none" w:sz="0" w:space="0" w:color="auto"/>
            <w:left w:val="none" w:sz="0" w:space="0" w:color="auto"/>
            <w:bottom w:val="none" w:sz="0" w:space="0" w:color="auto"/>
            <w:right w:val="none" w:sz="0" w:space="0" w:color="auto"/>
          </w:divBdr>
        </w:div>
        <w:div w:id="91974531">
          <w:marLeft w:val="547"/>
          <w:marRight w:val="0"/>
          <w:marTop w:val="200"/>
          <w:marBottom w:val="0"/>
          <w:divBdr>
            <w:top w:val="none" w:sz="0" w:space="0" w:color="auto"/>
            <w:left w:val="none" w:sz="0" w:space="0" w:color="auto"/>
            <w:bottom w:val="none" w:sz="0" w:space="0" w:color="auto"/>
            <w:right w:val="none" w:sz="0" w:space="0" w:color="auto"/>
          </w:divBdr>
        </w:div>
      </w:divsChild>
    </w:div>
    <w:div w:id="588852898">
      <w:bodyDiv w:val="1"/>
      <w:marLeft w:val="0"/>
      <w:marRight w:val="0"/>
      <w:marTop w:val="0"/>
      <w:marBottom w:val="0"/>
      <w:divBdr>
        <w:top w:val="none" w:sz="0" w:space="0" w:color="auto"/>
        <w:left w:val="none" w:sz="0" w:space="0" w:color="auto"/>
        <w:bottom w:val="none" w:sz="0" w:space="0" w:color="auto"/>
        <w:right w:val="none" w:sz="0" w:space="0" w:color="auto"/>
      </w:divBdr>
    </w:div>
    <w:div w:id="623540848">
      <w:bodyDiv w:val="1"/>
      <w:marLeft w:val="0"/>
      <w:marRight w:val="0"/>
      <w:marTop w:val="0"/>
      <w:marBottom w:val="0"/>
      <w:divBdr>
        <w:top w:val="none" w:sz="0" w:space="0" w:color="auto"/>
        <w:left w:val="none" w:sz="0" w:space="0" w:color="auto"/>
        <w:bottom w:val="none" w:sz="0" w:space="0" w:color="auto"/>
        <w:right w:val="none" w:sz="0" w:space="0" w:color="auto"/>
      </w:divBdr>
    </w:div>
    <w:div w:id="642122665">
      <w:bodyDiv w:val="1"/>
      <w:marLeft w:val="0"/>
      <w:marRight w:val="0"/>
      <w:marTop w:val="0"/>
      <w:marBottom w:val="0"/>
      <w:divBdr>
        <w:top w:val="none" w:sz="0" w:space="0" w:color="auto"/>
        <w:left w:val="none" w:sz="0" w:space="0" w:color="auto"/>
        <w:bottom w:val="none" w:sz="0" w:space="0" w:color="auto"/>
        <w:right w:val="none" w:sz="0" w:space="0" w:color="auto"/>
      </w:divBdr>
    </w:div>
    <w:div w:id="718357084">
      <w:bodyDiv w:val="1"/>
      <w:marLeft w:val="0"/>
      <w:marRight w:val="0"/>
      <w:marTop w:val="0"/>
      <w:marBottom w:val="0"/>
      <w:divBdr>
        <w:top w:val="none" w:sz="0" w:space="0" w:color="auto"/>
        <w:left w:val="none" w:sz="0" w:space="0" w:color="auto"/>
        <w:bottom w:val="none" w:sz="0" w:space="0" w:color="auto"/>
        <w:right w:val="none" w:sz="0" w:space="0" w:color="auto"/>
      </w:divBdr>
    </w:div>
    <w:div w:id="732892430">
      <w:bodyDiv w:val="1"/>
      <w:marLeft w:val="0"/>
      <w:marRight w:val="0"/>
      <w:marTop w:val="0"/>
      <w:marBottom w:val="0"/>
      <w:divBdr>
        <w:top w:val="none" w:sz="0" w:space="0" w:color="auto"/>
        <w:left w:val="none" w:sz="0" w:space="0" w:color="auto"/>
        <w:bottom w:val="none" w:sz="0" w:space="0" w:color="auto"/>
        <w:right w:val="none" w:sz="0" w:space="0" w:color="auto"/>
      </w:divBdr>
    </w:div>
    <w:div w:id="757601321">
      <w:bodyDiv w:val="1"/>
      <w:marLeft w:val="0"/>
      <w:marRight w:val="0"/>
      <w:marTop w:val="0"/>
      <w:marBottom w:val="0"/>
      <w:divBdr>
        <w:top w:val="none" w:sz="0" w:space="0" w:color="auto"/>
        <w:left w:val="none" w:sz="0" w:space="0" w:color="auto"/>
        <w:bottom w:val="none" w:sz="0" w:space="0" w:color="auto"/>
        <w:right w:val="none" w:sz="0" w:space="0" w:color="auto"/>
      </w:divBdr>
    </w:div>
    <w:div w:id="790587372">
      <w:bodyDiv w:val="1"/>
      <w:marLeft w:val="0"/>
      <w:marRight w:val="0"/>
      <w:marTop w:val="0"/>
      <w:marBottom w:val="0"/>
      <w:divBdr>
        <w:top w:val="none" w:sz="0" w:space="0" w:color="auto"/>
        <w:left w:val="none" w:sz="0" w:space="0" w:color="auto"/>
        <w:bottom w:val="none" w:sz="0" w:space="0" w:color="auto"/>
        <w:right w:val="none" w:sz="0" w:space="0" w:color="auto"/>
      </w:divBdr>
    </w:div>
    <w:div w:id="827289637">
      <w:bodyDiv w:val="1"/>
      <w:marLeft w:val="0"/>
      <w:marRight w:val="0"/>
      <w:marTop w:val="0"/>
      <w:marBottom w:val="0"/>
      <w:divBdr>
        <w:top w:val="none" w:sz="0" w:space="0" w:color="auto"/>
        <w:left w:val="none" w:sz="0" w:space="0" w:color="auto"/>
        <w:bottom w:val="none" w:sz="0" w:space="0" w:color="auto"/>
        <w:right w:val="none" w:sz="0" w:space="0" w:color="auto"/>
      </w:divBdr>
    </w:div>
    <w:div w:id="833492555">
      <w:bodyDiv w:val="1"/>
      <w:marLeft w:val="0"/>
      <w:marRight w:val="0"/>
      <w:marTop w:val="0"/>
      <w:marBottom w:val="0"/>
      <w:divBdr>
        <w:top w:val="none" w:sz="0" w:space="0" w:color="auto"/>
        <w:left w:val="none" w:sz="0" w:space="0" w:color="auto"/>
        <w:bottom w:val="none" w:sz="0" w:space="0" w:color="auto"/>
        <w:right w:val="none" w:sz="0" w:space="0" w:color="auto"/>
      </w:divBdr>
    </w:div>
    <w:div w:id="869299643">
      <w:bodyDiv w:val="1"/>
      <w:marLeft w:val="0"/>
      <w:marRight w:val="0"/>
      <w:marTop w:val="0"/>
      <w:marBottom w:val="0"/>
      <w:divBdr>
        <w:top w:val="none" w:sz="0" w:space="0" w:color="auto"/>
        <w:left w:val="none" w:sz="0" w:space="0" w:color="auto"/>
        <w:bottom w:val="none" w:sz="0" w:space="0" w:color="auto"/>
        <w:right w:val="none" w:sz="0" w:space="0" w:color="auto"/>
      </w:divBdr>
      <w:divsChild>
        <w:div w:id="530994750">
          <w:marLeft w:val="446"/>
          <w:marRight w:val="0"/>
          <w:marTop w:val="0"/>
          <w:marBottom w:val="0"/>
          <w:divBdr>
            <w:top w:val="none" w:sz="0" w:space="0" w:color="auto"/>
            <w:left w:val="none" w:sz="0" w:space="0" w:color="auto"/>
            <w:bottom w:val="none" w:sz="0" w:space="0" w:color="auto"/>
            <w:right w:val="none" w:sz="0" w:space="0" w:color="auto"/>
          </w:divBdr>
        </w:div>
      </w:divsChild>
    </w:div>
    <w:div w:id="874583567">
      <w:bodyDiv w:val="1"/>
      <w:marLeft w:val="0"/>
      <w:marRight w:val="0"/>
      <w:marTop w:val="0"/>
      <w:marBottom w:val="0"/>
      <w:divBdr>
        <w:top w:val="none" w:sz="0" w:space="0" w:color="auto"/>
        <w:left w:val="none" w:sz="0" w:space="0" w:color="auto"/>
        <w:bottom w:val="none" w:sz="0" w:space="0" w:color="auto"/>
        <w:right w:val="none" w:sz="0" w:space="0" w:color="auto"/>
      </w:divBdr>
    </w:div>
    <w:div w:id="877549695">
      <w:bodyDiv w:val="1"/>
      <w:marLeft w:val="0"/>
      <w:marRight w:val="0"/>
      <w:marTop w:val="0"/>
      <w:marBottom w:val="0"/>
      <w:divBdr>
        <w:top w:val="none" w:sz="0" w:space="0" w:color="auto"/>
        <w:left w:val="none" w:sz="0" w:space="0" w:color="auto"/>
        <w:bottom w:val="none" w:sz="0" w:space="0" w:color="auto"/>
        <w:right w:val="none" w:sz="0" w:space="0" w:color="auto"/>
      </w:divBdr>
    </w:div>
    <w:div w:id="911233819">
      <w:bodyDiv w:val="1"/>
      <w:marLeft w:val="0"/>
      <w:marRight w:val="0"/>
      <w:marTop w:val="0"/>
      <w:marBottom w:val="0"/>
      <w:divBdr>
        <w:top w:val="none" w:sz="0" w:space="0" w:color="auto"/>
        <w:left w:val="none" w:sz="0" w:space="0" w:color="auto"/>
        <w:bottom w:val="none" w:sz="0" w:space="0" w:color="auto"/>
        <w:right w:val="none" w:sz="0" w:space="0" w:color="auto"/>
      </w:divBdr>
    </w:div>
    <w:div w:id="919675176">
      <w:bodyDiv w:val="1"/>
      <w:marLeft w:val="0"/>
      <w:marRight w:val="0"/>
      <w:marTop w:val="0"/>
      <w:marBottom w:val="0"/>
      <w:divBdr>
        <w:top w:val="none" w:sz="0" w:space="0" w:color="auto"/>
        <w:left w:val="none" w:sz="0" w:space="0" w:color="auto"/>
        <w:bottom w:val="none" w:sz="0" w:space="0" w:color="auto"/>
        <w:right w:val="none" w:sz="0" w:space="0" w:color="auto"/>
      </w:divBdr>
    </w:div>
    <w:div w:id="994141257">
      <w:bodyDiv w:val="1"/>
      <w:marLeft w:val="0"/>
      <w:marRight w:val="0"/>
      <w:marTop w:val="0"/>
      <w:marBottom w:val="0"/>
      <w:divBdr>
        <w:top w:val="none" w:sz="0" w:space="0" w:color="auto"/>
        <w:left w:val="none" w:sz="0" w:space="0" w:color="auto"/>
        <w:bottom w:val="none" w:sz="0" w:space="0" w:color="auto"/>
        <w:right w:val="none" w:sz="0" w:space="0" w:color="auto"/>
      </w:divBdr>
    </w:div>
    <w:div w:id="1038161839">
      <w:bodyDiv w:val="1"/>
      <w:marLeft w:val="0"/>
      <w:marRight w:val="0"/>
      <w:marTop w:val="0"/>
      <w:marBottom w:val="0"/>
      <w:divBdr>
        <w:top w:val="none" w:sz="0" w:space="0" w:color="auto"/>
        <w:left w:val="none" w:sz="0" w:space="0" w:color="auto"/>
        <w:bottom w:val="none" w:sz="0" w:space="0" w:color="auto"/>
        <w:right w:val="none" w:sz="0" w:space="0" w:color="auto"/>
      </w:divBdr>
      <w:divsChild>
        <w:div w:id="525676393">
          <w:marLeft w:val="360"/>
          <w:marRight w:val="0"/>
          <w:marTop w:val="200"/>
          <w:marBottom w:val="0"/>
          <w:divBdr>
            <w:top w:val="none" w:sz="0" w:space="0" w:color="auto"/>
            <w:left w:val="none" w:sz="0" w:space="0" w:color="auto"/>
            <w:bottom w:val="none" w:sz="0" w:space="0" w:color="auto"/>
            <w:right w:val="none" w:sz="0" w:space="0" w:color="auto"/>
          </w:divBdr>
        </w:div>
        <w:div w:id="343944721">
          <w:marLeft w:val="360"/>
          <w:marRight w:val="0"/>
          <w:marTop w:val="200"/>
          <w:marBottom w:val="0"/>
          <w:divBdr>
            <w:top w:val="none" w:sz="0" w:space="0" w:color="auto"/>
            <w:left w:val="none" w:sz="0" w:space="0" w:color="auto"/>
            <w:bottom w:val="none" w:sz="0" w:space="0" w:color="auto"/>
            <w:right w:val="none" w:sz="0" w:space="0" w:color="auto"/>
          </w:divBdr>
        </w:div>
        <w:div w:id="606276230">
          <w:marLeft w:val="1080"/>
          <w:marRight w:val="0"/>
          <w:marTop w:val="100"/>
          <w:marBottom w:val="0"/>
          <w:divBdr>
            <w:top w:val="none" w:sz="0" w:space="0" w:color="auto"/>
            <w:left w:val="none" w:sz="0" w:space="0" w:color="auto"/>
            <w:bottom w:val="none" w:sz="0" w:space="0" w:color="auto"/>
            <w:right w:val="none" w:sz="0" w:space="0" w:color="auto"/>
          </w:divBdr>
        </w:div>
        <w:div w:id="482359755">
          <w:marLeft w:val="1080"/>
          <w:marRight w:val="0"/>
          <w:marTop w:val="100"/>
          <w:marBottom w:val="0"/>
          <w:divBdr>
            <w:top w:val="none" w:sz="0" w:space="0" w:color="auto"/>
            <w:left w:val="none" w:sz="0" w:space="0" w:color="auto"/>
            <w:bottom w:val="none" w:sz="0" w:space="0" w:color="auto"/>
            <w:right w:val="none" w:sz="0" w:space="0" w:color="auto"/>
          </w:divBdr>
        </w:div>
        <w:div w:id="259335425">
          <w:marLeft w:val="360"/>
          <w:marRight w:val="0"/>
          <w:marTop w:val="200"/>
          <w:marBottom w:val="0"/>
          <w:divBdr>
            <w:top w:val="none" w:sz="0" w:space="0" w:color="auto"/>
            <w:left w:val="none" w:sz="0" w:space="0" w:color="auto"/>
            <w:bottom w:val="none" w:sz="0" w:space="0" w:color="auto"/>
            <w:right w:val="none" w:sz="0" w:space="0" w:color="auto"/>
          </w:divBdr>
        </w:div>
        <w:div w:id="617027977">
          <w:marLeft w:val="1080"/>
          <w:marRight w:val="0"/>
          <w:marTop w:val="100"/>
          <w:marBottom w:val="0"/>
          <w:divBdr>
            <w:top w:val="none" w:sz="0" w:space="0" w:color="auto"/>
            <w:left w:val="none" w:sz="0" w:space="0" w:color="auto"/>
            <w:bottom w:val="none" w:sz="0" w:space="0" w:color="auto"/>
            <w:right w:val="none" w:sz="0" w:space="0" w:color="auto"/>
          </w:divBdr>
        </w:div>
        <w:div w:id="1085998356">
          <w:marLeft w:val="1080"/>
          <w:marRight w:val="0"/>
          <w:marTop w:val="100"/>
          <w:marBottom w:val="0"/>
          <w:divBdr>
            <w:top w:val="none" w:sz="0" w:space="0" w:color="auto"/>
            <w:left w:val="none" w:sz="0" w:space="0" w:color="auto"/>
            <w:bottom w:val="none" w:sz="0" w:space="0" w:color="auto"/>
            <w:right w:val="none" w:sz="0" w:space="0" w:color="auto"/>
          </w:divBdr>
        </w:div>
        <w:div w:id="1154298268">
          <w:marLeft w:val="1080"/>
          <w:marRight w:val="0"/>
          <w:marTop w:val="100"/>
          <w:marBottom w:val="0"/>
          <w:divBdr>
            <w:top w:val="none" w:sz="0" w:space="0" w:color="auto"/>
            <w:left w:val="none" w:sz="0" w:space="0" w:color="auto"/>
            <w:bottom w:val="none" w:sz="0" w:space="0" w:color="auto"/>
            <w:right w:val="none" w:sz="0" w:space="0" w:color="auto"/>
          </w:divBdr>
        </w:div>
      </w:divsChild>
    </w:div>
    <w:div w:id="1102333483">
      <w:bodyDiv w:val="1"/>
      <w:marLeft w:val="0"/>
      <w:marRight w:val="0"/>
      <w:marTop w:val="0"/>
      <w:marBottom w:val="0"/>
      <w:divBdr>
        <w:top w:val="none" w:sz="0" w:space="0" w:color="auto"/>
        <w:left w:val="none" w:sz="0" w:space="0" w:color="auto"/>
        <w:bottom w:val="none" w:sz="0" w:space="0" w:color="auto"/>
        <w:right w:val="none" w:sz="0" w:space="0" w:color="auto"/>
      </w:divBdr>
    </w:div>
    <w:div w:id="1131247762">
      <w:bodyDiv w:val="1"/>
      <w:marLeft w:val="0"/>
      <w:marRight w:val="0"/>
      <w:marTop w:val="0"/>
      <w:marBottom w:val="0"/>
      <w:divBdr>
        <w:top w:val="none" w:sz="0" w:space="0" w:color="auto"/>
        <w:left w:val="none" w:sz="0" w:space="0" w:color="auto"/>
        <w:bottom w:val="none" w:sz="0" w:space="0" w:color="auto"/>
        <w:right w:val="none" w:sz="0" w:space="0" w:color="auto"/>
      </w:divBdr>
    </w:div>
    <w:div w:id="1131938975">
      <w:bodyDiv w:val="1"/>
      <w:marLeft w:val="0"/>
      <w:marRight w:val="0"/>
      <w:marTop w:val="0"/>
      <w:marBottom w:val="0"/>
      <w:divBdr>
        <w:top w:val="none" w:sz="0" w:space="0" w:color="auto"/>
        <w:left w:val="none" w:sz="0" w:space="0" w:color="auto"/>
        <w:bottom w:val="none" w:sz="0" w:space="0" w:color="auto"/>
        <w:right w:val="none" w:sz="0" w:space="0" w:color="auto"/>
      </w:divBdr>
    </w:div>
    <w:div w:id="1158036075">
      <w:bodyDiv w:val="1"/>
      <w:marLeft w:val="0"/>
      <w:marRight w:val="0"/>
      <w:marTop w:val="0"/>
      <w:marBottom w:val="0"/>
      <w:divBdr>
        <w:top w:val="none" w:sz="0" w:space="0" w:color="auto"/>
        <w:left w:val="none" w:sz="0" w:space="0" w:color="auto"/>
        <w:bottom w:val="none" w:sz="0" w:space="0" w:color="auto"/>
        <w:right w:val="none" w:sz="0" w:space="0" w:color="auto"/>
      </w:divBdr>
    </w:div>
    <w:div w:id="1206138355">
      <w:bodyDiv w:val="1"/>
      <w:marLeft w:val="0"/>
      <w:marRight w:val="0"/>
      <w:marTop w:val="0"/>
      <w:marBottom w:val="0"/>
      <w:divBdr>
        <w:top w:val="none" w:sz="0" w:space="0" w:color="auto"/>
        <w:left w:val="none" w:sz="0" w:space="0" w:color="auto"/>
        <w:bottom w:val="none" w:sz="0" w:space="0" w:color="auto"/>
        <w:right w:val="none" w:sz="0" w:space="0" w:color="auto"/>
      </w:divBdr>
    </w:div>
    <w:div w:id="1210337314">
      <w:bodyDiv w:val="1"/>
      <w:marLeft w:val="0"/>
      <w:marRight w:val="0"/>
      <w:marTop w:val="0"/>
      <w:marBottom w:val="0"/>
      <w:divBdr>
        <w:top w:val="none" w:sz="0" w:space="0" w:color="auto"/>
        <w:left w:val="none" w:sz="0" w:space="0" w:color="auto"/>
        <w:bottom w:val="none" w:sz="0" w:space="0" w:color="auto"/>
        <w:right w:val="none" w:sz="0" w:space="0" w:color="auto"/>
      </w:divBdr>
    </w:div>
    <w:div w:id="1234004579">
      <w:bodyDiv w:val="1"/>
      <w:marLeft w:val="0"/>
      <w:marRight w:val="0"/>
      <w:marTop w:val="0"/>
      <w:marBottom w:val="0"/>
      <w:divBdr>
        <w:top w:val="none" w:sz="0" w:space="0" w:color="auto"/>
        <w:left w:val="none" w:sz="0" w:space="0" w:color="auto"/>
        <w:bottom w:val="none" w:sz="0" w:space="0" w:color="auto"/>
        <w:right w:val="none" w:sz="0" w:space="0" w:color="auto"/>
      </w:divBdr>
    </w:div>
    <w:div w:id="1286472924">
      <w:bodyDiv w:val="1"/>
      <w:marLeft w:val="0"/>
      <w:marRight w:val="0"/>
      <w:marTop w:val="0"/>
      <w:marBottom w:val="0"/>
      <w:divBdr>
        <w:top w:val="none" w:sz="0" w:space="0" w:color="auto"/>
        <w:left w:val="none" w:sz="0" w:space="0" w:color="auto"/>
        <w:bottom w:val="none" w:sz="0" w:space="0" w:color="auto"/>
        <w:right w:val="none" w:sz="0" w:space="0" w:color="auto"/>
      </w:divBdr>
    </w:div>
    <w:div w:id="1358122424">
      <w:bodyDiv w:val="1"/>
      <w:marLeft w:val="0"/>
      <w:marRight w:val="0"/>
      <w:marTop w:val="0"/>
      <w:marBottom w:val="0"/>
      <w:divBdr>
        <w:top w:val="none" w:sz="0" w:space="0" w:color="auto"/>
        <w:left w:val="none" w:sz="0" w:space="0" w:color="auto"/>
        <w:bottom w:val="none" w:sz="0" w:space="0" w:color="auto"/>
        <w:right w:val="none" w:sz="0" w:space="0" w:color="auto"/>
      </w:divBdr>
    </w:div>
    <w:div w:id="1411079427">
      <w:bodyDiv w:val="1"/>
      <w:marLeft w:val="0"/>
      <w:marRight w:val="0"/>
      <w:marTop w:val="0"/>
      <w:marBottom w:val="0"/>
      <w:divBdr>
        <w:top w:val="none" w:sz="0" w:space="0" w:color="auto"/>
        <w:left w:val="none" w:sz="0" w:space="0" w:color="auto"/>
        <w:bottom w:val="none" w:sz="0" w:space="0" w:color="auto"/>
        <w:right w:val="none" w:sz="0" w:space="0" w:color="auto"/>
      </w:divBdr>
      <w:divsChild>
        <w:div w:id="299922966">
          <w:marLeft w:val="0"/>
          <w:marRight w:val="0"/>
          <w:marTop w:val="0"/>
          <w:marBottom w:val="0"/>
          <w:divBdr>
            <w:top w:val="single" w:sz="6" w:space="0" w:color="auto"/>
            <w:left w:val="single" w:sz="6" w:space="0" w:color="auto"/>
            <w:bottom w:val="single" w:sz="6" w:space="0" w:color="auto"/>
            <w:right w:val="single" w:sz="6" w:space="0" w:color="auto"/>
          </w:divBdr>
          <w:divsChild>
            <w:div w:id="1341857498">
              <w:marLeft w:val="0"/>
              <w:marRight w:val="0"/>
              <w:marTop w:val="0"/>
              <w:marBottom w:val="0"/>
              <w:divBdr>
                <w:top w:val="none" w:sz="0" w:space="0" w:color="auto"/>
                <w:left w:val="none" w:sz="0" w:space="0" w:color="auto"/>
                <w:bottom w:val="none" w:sz="0" w:space="0" w:color="auto"/>
                <w:right w:val="none" w:sz="0" w:space="0" w:color="auto"/>
              </w:divBdr>
              <w:divsChild>
                <w:div w:id="450050297">
                  <w:marLeft w:val="0"/>
                  <w:marRight w:val="0"/>
                  <w:marTop w:val="0"/>
                  <w:marBottom w:val="0"/>
                  <w:divBdr>
                    <w:top w:val="none" w:sz="0" w:space="0" w:color="auto"/>
                    <w:left w:val="none" w:sz="0" w:space="0" w:color="auto"/>
                    <w:bottom w:val="none" w:sz="0" w:space="0" w:color="auto"/>
                    <w:right w:val="none" w:sz="0" w:space="0" w:color="auto"/>
                  </w:divBdr>
                  <w:divsChild>
                    <w:div w:id="49885245">
                      <w:marLeft w:val="0"/>
                      <w:marRight w:val="0"/>
                      <w:marTop w:val="0"/>
                      <w:marBottom w:val="0"/>
                      <w:divBdr>
                        <w:top w:val="none" w:sz="0" w:space="0" w:color="auto"/>
                        <w:left w:val="none" w:sz="0" w:space="0" w:color="auto"/>
                        <w:bottom w:val="none" w:sz="0" w:space="0" w:color="auto"/>
                        <w:right w:val="none" w:sz="0" w:space="0" w:color="auto"/>
                      </w:divBdr>
                      <w:divsChild>
                        <w:div w:id="457795982">
                          <w:marLeft w:val="0"/>
                          <w:marRight w:val="0"/>
                          <w:marTop w:val="0"/>
                          <w:marBottom w:val="0"/>
                          <w:divBdr>
                            <w:top w:val="none" w:sz="0" w:space="0" w:color="auto"/>
                            <w:left w:val="none" w:sz="0" w:space="0" w:color="auto"/>
                            <w:bottom w:val="none" w:sz="0" w:space="0" w:color="auto"/>
                            <w:right w:val="none" w:sz="0" w:space="0" w:color="auto"/>
                          </w:divBdr>
                          <w:divsChild>
                            <w:div w:id="816848345">
                              <w:marLeft w:val="0"/>
                              <w:marRight w:val="0"/>
                              <w:marTop w:val="0"/>
                              <w:marBottom w:val="0"/>
                              <w:divBdr>
                                <w:top w:val="none" w:sz="0" w:space="0" w:color="auto"/>
                                <w:left w:val="none" w:sz="0" w:space="0" w:color="auto"/>
                                <w:bottom w:val="none" w:sz="0" w:space="0" w:color="auto"/>
                                <w:right w:val="none" w:sz="0" w:space="0" w:color="auto"/>
                              </w:divBdr>
                              <w:divsChild>
                                <w:div w:id="1122113779">
                                  <w:marLeft w:val="0"/>
                                  <w:marRight w:val="0"/>
                                  <w:marTop w:val="0"/>
                                  <w:marBottom w:val="0"/>
                                  <w:divBdr>
                                    <w:top w:val="none" w:sz="0" w:space="0" w:color="auto"/>
                                    <w:left w:val="none" w:sz="0" w:space="0" w:color="auto"/>
                                    <w:bottom w:val="none" w:sz="0" w:space="0" w:color="auto"/>
                                    <w:right w:val="none" w:sz="0" w:space="0" w:color="auto"/>
                                  </w:divBdr>
                                  <w:divsChild>
                                    <w:div w:id="1815951115">
                                      <w:marLeft w:val="0"/>
                                      <w:marRight w:val="0"/>
                                      <w:marTop w:val="0"/>
                                      <w:marBottom w:val="0"/>
                                      <w:divBdr>
                                        <w:top w:val="none" w:sz="0" w:space="0" w:color="auto"/>
                                        <w:left w:val="none" w:sz="0" w:space="0" w:color="auto"/>
                                        <w:bottom w:val="none" w:sz="0" w:space="0" w:color="auto"/>
                                        <w:right w:val="none" w:sz="0" w:space="0" w:color="auto"/>
                                      </w:divBdr>
                                      <w:divsChild>
                                        <w:div w:id="570584798">
                                          <w:marLeft w:val="0"/>
                                          <w:marRight w:val="0"/>
                                          <w:marTop w:val="0"/>
                                          <w:marBottom w:val="0"/>
                                          <w:divBdr>
                                            <w:top w:val="none" w:sz="0" w:space="0" w:color="auto"/>
                                            <w:left w:val="none" w:sz="0" w:space="0" w:color="auto"/>
                                            <w:bottom w:val="none" w:sz="0" w:space="0" w:color="auto"/>
                                            <w:right w:val="none" w:sz="0" w:space="0" w:color="auto"/>
                                          </w:divBdr>
                                          <w:divsChild>
                                            <w:div w:id="1819152953">
                                              <w:marLeft w:val="0"/>
                                              <w:marRight w:val="0"/>
                                              <w:marTop w:val="0"/>
                                              <w:marBottom w:val="0"/>
                                              <w:divBdr>
                                                <w:top w:val="none" w:sz="0" w:space="0" w:color="auto"/>
                                                <w:left w:val="none" w:sz="0" w:space="0" w:color="auto"/>
                                                <w:bottom w:val="none" w:sz="0" w:space="0" w:color="auto"/>
                                                <w:right w:val="none" w:sz="0" w:space="0" w:color="auto"/>
                                              </w:divBdr>
                                              <w:divsChild>
                                                <w:div w:id="482089929">
                                                  <w:marLeft w:val="0"/>
                                                  <w:marRight w:val="0"/>
                                                  <w:marTop w:val="0"/>
                                                  <w:marBottom w:val="0"/>
                                                  <w:divBdr>
                                                    <w:top w:val="none" w:sz="0" w:space="0" w:color="auto"/>
                                                    <w:left w:val="none" w:sz="0" w:space="0" w:color="auto"/>
                                                    <w:bottom w:val="none" w:sz="0" w:space="0" w:color="auto"/>
                                                    <w:right w:val="none" w:sz="0" w:space="0" w:color="auto"/>
                                                  </w:divBdr>
                                                  <w:divsChild>
                                                    <w:div w:id="1020552089">
                                                      <w:marLeft w:val="0"/>
                                                      <w:marRight w:val="0"/>
                                                      <w:marTop w:val="0"/>
                                                      <w:marBottom w:val="0"/>
                                                      <w:divBdr>
                                                        <w:top w:val="none" w:sz="0" w:space="0" w:color="auto"/>
                                                        <w:left w:val="none" w:sz="0" w:space="0" w:color="auto"/>
                                                        <w:bottom w:val="none" w:sz="0" w:space="0" w:color="auto"/>
                                                        <w:right w:val="none" w:sz="0" w:space="0" w:color="auto"/>
                                                      </w:divBdr>
                                                      <w:divsChild>
                                                        <w:div w:id="170609431">
                                                          <w:marLeft w:val="0"/>
                                                          <w:marRight w:val="0"/>
                                                          <w:marTop w:val="0"/>
                                                          <w:marBottom w:val="0"/>
                                                          <w:divBdr>
                                                            <w:top w:val="none" w:sz="0" w:space="0" w:color="auto"/>
                                                            <w:left w:val="none" w:sz="0" w:space="0" w:color="auto"/>
                                                            <w:bottom w:val="none" w:sz="0" w:space="0" w:color="auto"/>
                                                            <w:right w:val="none" w:sz="0" w:space="0" w:color="auto"/>
                                                          </w:divBdr>
                                                          <w:divsChild>
                                                            <w:div w:id="2052026589">
                                                              <w:marLeft w:val="0"/>
                                                              <w:marRight w:val="0"/>
                                                              <w:marTop w:val="0"/>
                                                              <w:marBottom w:val="435"/>
                                                              <w:divBdr>
                                                                <w:top w:val="none" w:sz="0" w:space="0" w:color="auto"/>
                                                                <w:left w:val="none" w:sz="0" w:space="0" w:color="auto"/>
                                                                <w:bottom w:val="none" w:sz="0" w:space="0" w:color="auto"/>
                                                                <w:right w:val="none" w:sz="0" w:space="0" w:color="auto"/>
                                                              </w:divBdr>
                                                              <w:divsChild>
                                                                <w:div w:id="271595917">
                                                                  <w:marLeft w:val="0"/>
                                                                  <w:marRight w:val="0"/>
                                                                  <w:marTop w:val="0"/>
                                                                  <w:marBottom w:val="0"/>
                                                                  <w:divBdr>
                                                                    <w:top w:val="none" w:sz="0" w:space="0" w:color="auto"/>
                                                                    <w:left w:val="none" w:sz="0" w:space="0" w:color="auto"/>
                                                                    <w:bottom w:val="none" w:sz="0" w:space="0" w:color="auto"/>
                                                                    <w:right w:val="none" w:sz="0" w:space="0" w:color="auto"/>
                                                                  </w:divBdr>
                                                                  <w:divsChild>
                                                                    <w:div w:id="1019623108">
                                                                      <w:marLeft w:val="0"/>
                                                                      <w:marRight w:val="0"/>
                                                                      <w:marTop w:val="0"/>
                                                                      <w:marBottom w:val="0"/>
                                                                      <w:divBdr>
                                                                        <w:top w:val="none" w:sz="0" w:space="0" w:color="auto"/>
                                                                        <w:left w:val="none" w:sz="0" w:space="0" w:color="auto"/>
                                                                        <w:bottom w:val="none" w:sz="0" w:space="0" w:color="auto"/>
                                                                        <w:right w:val="none" w:sz="0" w:space="0" w:color="auto"/>
                                                                      </w:divBdr>
                                                                      <w:divsChild>
                                                                        <w:div w:id="298726255">
                                                                          <w:marLeft w:val="0"/>
                                                                          <w:marRight w:val="0"/>
                                                                          <w:marTop w:val="0"/>
                                                                          <w:marBottom w:val="0"/>
                                                                          <w:divBdr>
                                                                            <w:top w:val="none" w:sz="0" w:space="0" w:color="auto"/>
                                                                            <w:left w:val="none" w:sz="0" w:space="0" w:color="auto"/>
                                                                            <w:bottom w:val="none" w:sz="0" w:space="0" w:color="auto"/>
                                                                            <w:right w:val="none" w:sz="0" w:space="0" w:color="auto"/>
                                                                          </w:divBdr>
                                                                          <w:divsChild>
                                                                            <w:div w:id="307517690">
                                                                              <w:marLeft w:val="0"/>
                                                                              <w:marRight w:val="0"/>
                                                                              <w:marTop w:val="0"/>
                                                                              <w:marBottom w:val="0"/>
                                                                              <w:divBdr>
                                                                                <w:top w:val="none" w:sz="0" w:space="0" w:color="auto"/>
                                                                                <w:left w:val="none" w:sz="0" w:space="0" w:color="auto"/>
                                                                                <w:bottom w:val="none" w:sz="0" w:space="0" w:color="auto"/>
                                                                                <w:right w:val="none" w:sz="0" w:space="0" w:color="auto"/>
                                                                              </w:divBdr>
                                                                              <w:divsChild>
                                                                                <w:div w:id="9783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9405626">
      <w:bodyDiv w:val="1"/>
      <w:marLeft w:val="0"/>
      <w:marRight w:val="0"/>
      <w:marTop w:val="0"/>
      <w:marBottom w:val="0"/>
      <w:divBdr>
        <w:top w:val="none" w:sz="0" w:space="0" w:color="auto"/>
        <w:left w:val="none" w:sz="0" w:space="0" w:color="auto"/>
        <w:bottom w:val="none" w:sz="0" w:space="0" w:color="auto"/>
        <w:right w:val="none" w:sz="0" w:space="0" w:color="auto"/>
      </w:divBdr>
    </w:div>
    <w:div w:id="1433430776">
      <w:bodyDiv w:val="1"/>
      <w:marLeft w:val="0"/>
      <w:marRight w:val="0"/>
      <w:marTop w:val="0"/>
      <w:marBottom w:val="0"/>
      <w:divBdr>
        <w:top w:val="none" w:sz="0" w:space="0" w:color="auto"/>
        <w:left w:val="none" w:sz="0" w:space="0" w:color="auto"/>
        <w:bottom w:val="none" w:sz="0" w:space="0" w:color="auto"/>
        <w:right w:val="none" w:sz="0" w:space="0" w:color="auto"/>
      </w:divBdr>
    </w:div>
    <w:div w:id="1456869298">
      <w:bodyDiv w:val="1"/>
      <w:marLeft w:val="0"/>
      <w:marRight w:val="0"/>
      <w:marTop w:val="0"/>
      <w:marBottom w:val="0"/>
      <w:divBdr>
        <w:top w:val="none" w:sz="0" w:space="0" w:color="auto"/>
        <w:left w:val="none" w:sz="0" w:space="0" w:color="auto"/>
        <w:bottom w:val="none" w:sz="0" w:space="0" w:color="auto"/>
        <w:right w:val="none" w:sz="0" w:space="0" w:color="auto"/>
      </w:divBdr>
    </w:div>
    <w:div w:id="1502965819">
      <w:bodyDiv w:val="1"/>
      <w:marLeft w:val="0"/>
      <w:marRight w:val="0"/>
      <w:marTop w:val="0"/>
      <w:marBottom w:val="0"/>
      <w:divBdr>
        <w:top w:val="none" w:sz="0" w:space="0" w:color="auto"/>
        <w:left w:val="none" w:sz="0" w:space="0" w:color="auto"/>
        <w:bottom w:val="none" w:sz="0" w:space="0" w:color="auto"/>
        <w:right w:val="none" w:sz="0" w:space="0" w:color="auto"/>
      </w:divBdr>
    </w:div>
    <w:div w:id="1654063977">
      <w:bodyDiv w:val="1"/>
      <w:marLeft w:val="0"/>
      <w:marRight w:val="0"/>
      <w:marTop w:val="0"/>
      <w:marBottom w:val="0"/>
      <w:divBdr>
        <w:top w:val="none" w:sz="0" w:space="0" w:color="auto"/>
        <w:left w:val="none" w:sz="0" w:space="0" w:color="auto"/>
        <w:bottom w:val="none" w:sz="0" w:space="0" w:color="auto"/>
        <w:right w:val="none" w:sz="0" w:space="0" w:color="auto"/>
      </w:divBdr>
    </w:div>
    <w:div w:id="1720520417">
      <w:bodyDiv w:val="1"/>
      <w:marLeft w:val="0"/>
      <w:marRight w:val="0"/>
      <w:marTop w:val="0"/>
      <w:marBottom w:val="0"/>
      <w:divBdr>
        <w:top w:val="none" w:sz="0" w:space="0" w:color="auto"/>
        <w:left w:val="none" w:sz="0" w:space="0" w:color="auto"/>
        <w:bottom w:val="none" w:sz="0" w:space="0" w:color="auto"/>
        <w:right w:val="none" w:sz="0" w:space="0" w:color="auto"/>
      </w:divBdr>
      <w:divsChild>
        <w:div w:id="907617055">
          <w:marLeft w:val="0"/>
          <w:marRight w:val="0"/>
          <w:marTop w:val="0"/>
          <w:marBottom w:val="0"/>
          <w:divBdr>
            <w:top w:val="none" w:sz="0" w:space="0" w:color="auto"/>
            <w:left w:val="none" w:sz="0" w:space="0" w:color="auto"/>
            <w:bottom w:val="none" w:sz="0" w:space="0" w:color="auto"/>
            <w:right w:val="none" w:sz="0" w:space="0" w:color="auto"/>
          </w:divBdr>
          <w:divsChild>
            <w:div w:id="966619102">
              <w:marLeft w:val="0"/>
              <w:marRight w:val="0"/>
              <w:marTop w:val="0"/>
              <w:marBottom w:val="0"/>
              <w:divBdr>
                <w:top w:val="none" w:sz="0" w:space="0" w:color="auto"/>
                <w:left w:val="none" w:sz="0" w:space="0" w:color="auto"/>
                <w:bottom w:val="none" w:sz="0" w:space="0" w:color="auto"/>
                <w:right w:val="none" w:sz="0" w:space="0" w:color="auto"/>
              </w:divBdr>
              <w:divsChild>
                <w:div w:id="1801149504">
                  <w:marLeft w:val="0"/>
                  <w:marRight w:val="0"/>
                  <w:marTop w:val="0"/>
                  <w:marBottom w:val="0"/>
                  <w:divBdr>
                    <w:top w:val="none" w:sz="0" w:space="0" w:color="auto"/>
                    <w:left w:val="none" w:sz="0" w:space="0" w:color="auto"/>
                    <w:bottom w:val="none" w:sz="0" w:space="0" w:color="auto"/>
                    <w:right w:val="none" w:sz="0" w:space="0" w:color="auto"/>
                  </w:divBdr>
                  <w:divsChild>
                    <w:div w:id="1894543367">
                      <w:marLeft w:val="0"/>
                      <w:marRight w:val="0"/>
                      <w:marTop w:val="0"/>
                      <w:marBottom w:val="0"/>
                      <w:divBdr>
                        <w:top w:val="none" w:sz="0" w:space="0" w:color="auto"/>
                        <w:left w:val="none" w:sz="0" w:space="0" w:color="auto"/>
                        <w:bottom w:val="none" w:sz="0" w:space="0" w:color="auto"/>
                        <w:right w:val="none" w:sz="0" w:space="0" w:color="auto"/>
                      </w:divBdr>
                      <w:divsChild>
                        <w:div w:id="356657011">
                          <w:marLeft w:val="0"/>
                          <w:marRight w:val="0"/>
                          <w:marTop w:val="0"/>
                          <w:marBottom w:val="0"/>
                          <w:divBdr>
                            <w:top w:val="none" w:sz="0" w:space="0" w:color="auto"/>
                            <w:left w:val="none" w:sz="0" w:space="0" w:color="auto"/>
                            <w:bottom w:val="none" w:sz="0" w:space="0" w:color="auto"/>
                            <w:right w:val="none" w:sz="0" w:space="0" w:color="auto"/>
                          </w:divBdr>
                          <w:divsChild>
                            <w:div w:id="1206524567">
                              <w:marLeft w:val="0"/>
                              <w:marRight w:val="0"/>
                              <w:marTop w:val="0"/>
                              <w:marBottom w:val="0"/>
                              <w:divBdr>
                                <w:top w:val="none" w:sz="0" w:space="0" w:color="auto"/>
                                <w:left w:val="none" w:sz="0" w:space="0" w:color="auto"/>
                                <w:bottom w:val="none" w:sz="0" w:space="0" w:color="auto"/>
                                <w:right w:val="none" w:sz="0" w:space="0" w:color="auto"/>
                              </w:divBdr>
                              <w:divsChild>
                                <w:div w:id="234361632">
                                  <w:marLeft w:val="0"/>
                                  <w:marRight w:val="0"/>
                                  <w:marTop w:val="0"/>
                                  <w:marBottom w:val="0"/>
                                  <w:divBdr>
                                    <w:top w:val="none" w:sz="0" w:space="0" w:color="auto"/>
                                    <w:left w:val="none" w:sz="0" w:space="0" w:color="auto"/>
                                    <w:bottom w:val="none" w:sz="0" w:space="0" w:color="auto"/>
                                    <w:right w:val="none" w:sz="0" w:space="0" w:color="auto"/>
                                  </w:divBdr>
                                  <w:divsChild>
                                    <w:div w:id="926503785">
                                      <w:marLeft w:val="0"/>
                                      <w:marRight w:val="0"/>
                                      <w:marTop w:val="0"/>
                                      <w:marBottom w:val="0"/>
                                      <w:divBdr>
                                        <w:top w:val="none" w:sz="0" w:space="0" w:color="auto"/>
                                        <w:left w:val="none" w:sz="0" w:space="0" w:color="auto"/>
                                        <w:bottom w:val="none" w:sz="0" w:space="0" w:color="auto"/>
                                        <w:right w:val="none" w:sz="0" w:space="0" w:color="auto"/>
                                      </w:divBdr>
                                      <w:divsChild>
                                        <w:div w:id="218826967">
                                          <w:marLeft w:val="0"/>
                                          <w:marRight w:val="0"/>
                                          <w:marTop w:val="0"/>
                                          <w:marBottom w:val="0"/>
                                          <w:divBdr>
                                            <w:top w:val="none" w:sz="0" w:space="0" w:color="auto"/>
                                            <w:left w:val="none" w:sz="0" w:space="0" w:color="auto"/>
                                            <w:bottom w:val="none" w:sz="0" w:space="0" w:color="auto"/>
                                            <w:right w:val="none" w:sz="0" w:space="0" w:color="auto"/>
                                          </w:divBdr>
                                          <w:divsChild>
                                            <w:div w:id="931938676">
                                              <w:marLeft w:val="0"/>
                                              <w:marRight w:val="0"/>
                                              <w:marTop w:val="0"/>
                                              <w:marBottom w:val="0"/>
                                              <w:divBdr>
                                                <w:top w:val="none" w:sz="0" w:space="0" w:color="auto"/>
                                                <w:left w:val="none" w:sz="0" w:space="0" w:color="auto"/>
                                                <w:bottom w:val="none" w:sz="0" w:space="0" w:color="auto"/>
                                                <w:right w:val="none" w:sz="0" w:space="0" w:color="auto"/>
                                              </w:divBdr>
                                              <w:divsChild>
                                                <w:div w:id="1441678332">
                                                  <w:marLeft w:val="0"/>
                                                  <w:marRight w:val="0"/>
                                                  <w:marTop w:val="0"/>
                                                  <w:marBottom w:val="0"/>
                                                  <w:divBdr>
                                                    <w:top w:val="none" w:sz="0" w:space="0" w:color="auto"/>
                                                    <w:left w:val="none" w:sz="0" w:space="0" w:color="auto"/>
                                                    <w:bottom w:val="none" w:sz="0" w:space="0" w:color="auto"/>
                                                    <w:right w:val="none" w:sz="0" w:space="0" w:color="auto"/>
                                                  </w:divBdr>
                                                  <w:divsChild>
                                                    <w:div w:id="1496533510">
                                                      <w:marLeft w:val="0"/>
                                                      <w:marRight w:val="0"/>
                                                      <w:marTop w:val="0"/>
                                                      <w:marBottom w:val="0"/>
                                                      <w:divBdr>
                                                        <w:top w:val="none" w:sz="0" w:space="0" w:color="auto"/>
                                                        <w:left w:val="none" w:sz="0" w:space="0" w:color="auto"/>
                                                        <w:bottom w:val="none" w:sz="0" w:space="0" w:color="auto"/>
                                                        <w:right w:val="none" w:sz="0" w:space="0" w:color="auto"/>
                                                      </w:divBdr>
                                                      <w:divsChild>
                                                        <w:div w:id="1034624134">
                                                          <w:marLeft w:val="0"/>
                                                          <w:marRight w:val="0"/>
                                                          <w:marTop w:val="0"/>
                                                          <w:marBottom w:val="0"/>
                                                          <w:divBdr>
                                                            <w:top w:val="none" w:sz="0" w:space="0" w:color="auto"/>
                                                            <w:left w:val="none" w:sz="0" w:space="0" w:color="auto"/>
                                                            <w:bottom w:val="none" w:sz="0" w:space="0" w:color="auto"/>
                                                            <w:right w:val="none" w:sz="0" w:space="0" w:color="auto"/>
                                                          </w:divBdr>
                                                          <w:divsChild>
                                                            <w:div w:id="2052339951">
                                                              <w:marLeft w:val="0"/>
                                                              <w:marRight w:val="0"/>
                                                              <w:marTop w:val="0"/>
                                                              <w:marBottom w:val="0"/>
                                                              <w:divBdr>
                                                                <w:top w:val="none" w:sz="0" w:space="0" w:color="auto"/>
                                                                <w:left w:val="none" w:sz="0" w:space="0" w:color="auto"/>
                                                                <w:bottom w:val="none" w:sz="0" w:space="0" w:color="auto"/>
                                                                <w:right w:val="none" w:sz="0" w:space="0" w:color="auto"/>
                                                              </w:divBdr>
                                                              <w:divsChild>
                                                                <w:div w:id="2015108772">
                                                                  <w:marLeft w:val="0"/>
                                                                  <w:marRight w:val="0"/>
                                                                  <w:marTop w:val="0"/>
                                                                  <w:marBottom w:val="0"/>
                                                                  <w:divBdr>
                                                                    <w:top w:val="none" w:sz="0" w:space="0" w:color="auto"/>
                                                                    <w:left w:val="none" w:sz="0" w:space="0" w:color="auto"/>
                                                                    <w:bottom w:val="none" w:sz="0" w:space="0" w:color="auto"/>
                                                                    <w:right w:val="none" w:sz="0" w:space="0" w:color="auto"/>
                                                                  </w:divBdr>
                                                                  <w:divsChild>
                                                                    <w:div w:id="348604968">
                                                                      <w:marLeft w:val="0"/>
                                                                      <w:marRight w:val="0"/>
                                                                      <w:marTop w:val="0"/>
                                                                      <w:marBottom w:val="0"/>
                                                                      <w:divBdr>
                                                                        <w:top w:val="none" w:sz="0" w:space="0" w:color="auto"/>
                                                                        <w:left w:val="none" w:sz="0" w:space="0" w:color="auto"/>
                                                                        <w:bottom w:val="none" w:sz="0" w:space="0" w:color="auto"/>
                                                                        <w:right w:val="none" w:sz="0" w:space="0" w:color="auto"/>
                                                                      </w:divBdr>
                                                                      <w:divsChild>
                                                                        <w:div w:id="210844216">
                                                                          <w:marLeft w:val="0"/>
                                                                          <w:marRight w:val="0"/>
                                                                          <w:marTop w:val="0"/>
                                                                          <w:marBottom w:val="0"/>
                                                                          <w:divBdr>
                                                                            <w:top w:val="none" w:sz="0" w:space="0" w:color="auto"/>
                                                                            <w:left w:val="none" w:sz="0" w:space="0" w:color="auto"/>
                                                                            <w:bottom w:val="none" w:sz="0" w:space="0" w:color="auto"/>
                                                                            <w:right w:val="none" w:sz="0" w:space="0" w:color="auto"/>
                                                                          </w:divBdr>
                                                                          <w:divsChild>
                                                                            <w:div w:id="363219149">
                                                                              <w:marLeft w:val="0"/>
                                                                              <w:marRight w:val="0"/>
                                                                              <w:marTop w:val="0"/>
                                                                              <w:marBottom w:val="0"/>
                                                                              <w:divBdr>
                                                                                <w:top w:val="none" w:sz="0" w:space="0" w:color="auto"/>
                                                                                <w:left w:val="none" w:sz="0" w:space="0" w:color="auto"/>
                                                                                <w:bottom w:val="none" w:sz="0" w:space="0" w:color="auto"/>
                                                                                <w:right w:val="none" w:sz="0" w:space="0" w:color="auto"/>
                                                                              </w:divBdr>
                                                                              <w:divsChild>
                                                                                <w:div w:id="1480920082">
                                                                                  <w:marLeft w:val="0"/>
                                                                                  <w:marRight w:val="0"/>
                                                                                  <w:marTop w:val="0"/>
                                                                                  <w:marBottom w:val="0"/>
                                                                                  <w:divBdr>
                                                                                    <w:top w:val="none" w:sz="0" w:space="0" w:color="auto"/>
                                                                                    <w:left w:val="none" w:sz="0" w:space="0" w:color="auto"/>
                                                                                    <w:bottom w:val="none" w:sz="0" w:space="0" w:color="auto"/>
                                                                                    <w:right w:val="none" w:sz="0" w:space="0" w:color="auto"/>
                                                                                  </w:divBdr>
                                                                                  <w:divsChild>
                                                                                    <w:div w:id="642008508">
                                                                                      <w:marLeft w:val="0"/>
                                                                                      <w:marRight w:val="0"/>
                                                                                      <w:marTop w:val="0"/>
                                                                                      <w:marBottom w:val="0"/>
                                                                                      <w:divBdr>
                                                                                        <w:top w:val="none" w:sz="0" w:space="0" w:color="auto"/>
                                                                                        <w:left w:val="none" w:sz="0" w:space="0" w:color="auto"/>
                                                                                        <w:bottom w:val="none" w:sz="0" w:space="0" w:color="auto"/>
                                                                                        <w:right w:val="none" w:sz="0" w:space="0" w:color="auto"/>
                                                                                      </w:divBdr>
                                                                                      <w:divsChild>
                                                                                        <w:div w:id="237060402">
                                                                                          <w:marLeft w:val="0"/>
                                                                                          <w:marRight w:val="0"/>
                                                                                          <w:marTop w:val="0"/>
                                                                                          <w:marBottom w:val="435"/>
                                                                                          <w:divBdr>
                                                                                            <w:top w:val="none" w:sz="0" w:space="0" w:color="auto"/>
                                                                                            <w:left w:val="none" w:sz="0" w:space="0" w:color="auto"/>
                                                                                            <w:bottom w:val="none" w:sz="0" w:space="0" w:color="auto"/>
                                                                                            <w:right w:val="none" w:sz="0" w:space="0" w:color="auto"/>
                                                                                          </w:divBdr>
                                                                                          <w:divsChild>
                                                                                            <w:div w:id="1354267353">
                                                                                              <w:marLeft w:val="0"/>
                                                                                              <w:marRight w:val="0"/>
                                                                                              <w:marTop w:val="0"/>
                                                                                              <w:marBottom w:val="0"/>
                                                                                              <w:divBdr>
                                                                                                <w:top w:val="none" w:sz="0" w:space="0" w:color="auto"/>
                                                                                                <w:left w:val="none" w:sz="0" w:space="0" w:color="auto"/>
                                                                                                <w:bottom w:val="none" w:sz="0" w:space="0" w:color="auto"/>
                                                                                                <w:right w:val="none" w:sz="0" w:space="0" w:color="auto"/>
                                                                                              </w:divBdr>
                                                                                              <w:divsChild>
                                                                                                <w:div w:id="825319559">
                                                                                                  <w:marLeft w:val="0"/>
                                                                                                  <w:marRight w:val="0"/>
                                                                                                  <w:marTop w:val="0"/>
                                                                                                  <w:marBottom w:val="0"/>
                                                                                                  <w:divBdr>
                                                                                                    <w:top w:val="none" w:sz="0" w:space="0" w:color="auto"/>
                                                                                                    <w:left w:val="none" w:sz="0" w:space="0" w:color="auto"/>
                                                                                                    <w:bottom w:val="none" w:sz="0" w:space="0" w:color="auto"/>
                                                                                                    <w:right w:val="none" w:sz="0" w:space="0" w:color="auto"/>
                                                                                                  </w:divBdr>
                                                                                                  <w:divsChild>
                                                                                                    <w:div w:id="1857763747">
                                                                                                      <w:marLeft w:val="0"/>
                                                                                                      <w:marRight w:val="0"/>
                                                                                                      <w:marTop w:val="0"/>
                                                                                                      <w:marBottom w:val="0"/>
                                                                                                      <w:divBdr>
                                                                                                        <w:top w:val="none" w:sz="0" w:space="0" w:color="auto"/>
                                                                                                        <w:left w:val="none" w:sz="0" w:space="0" w:color="auto"/>
                                                                                                        <w:bottom w:val="none" w:sz="0" w:space="0" w:color="auto"/>
                                                                                                        <w:right w:val="none" w:sz="0" w:space="0" w:color="auto"/>
                                                                                                      </w:divBdr>
                                                                                                      <w:divsChild>
                                                                                                        <w:div w:id="515311816">
                                                                                                          <w:marLeft w:val="0"/>
                                                                                                          <w:marRight w:val="0"/>
                                                                                                          <w:marTop w:val="0"/>
                                                                                                          <w:marBottom w:val="0"/>
                                                                                                          <w:divBdr>
                                                                                                            <w:top w:val="none" w:sz="0" w:space="0" w:color="auto"/>
                                                                                                            <w:left w:val="none" w:sz="0" w:space="0" w:color="auto"/>
                                                                                                            <w:bottom w:val="none" w:sz="0" w:space="0" w:color="auto"/>
                                                                                                            <w:right w:val="none" w:sz="0" w:space="0" w:color="auto"/>
                                                                                                          </w:divBdr>
                                                                                                          <w:divsChild>
                                                                                                            <w:div w:id="680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42484059">
      <w:bodyDiv w:val="1"/>
      <w:marLeft w:val="0"/>
      <w:marRight w:val="0"/>
      <w:marTop w:val="0"/>
      <w:marBottom w:val="0"/>
      <w:divBdr>
        <w:top w:val="none" w:sz="0" w:space="0" w:color="auto"/>
        <w:left w:val="none" w:sz="0" w:space="0" w:color="auto"/>
        <w:bottom w:val="none" w:sz="0" w:space="0" w:color="auto"/>
        <w:right w:val="none" w:sz="0" w:space="0" w:color="auto"/>
      </w:divBdr>
    </w:div>
    <w:div w:id="1882281396">
      <w:bodyDiv w:val="1"/>
      <w:marLeft w:val="0"/>
      <w:marRight w:val="0"/>
      <w:marTop w:val="0"/>
      <w:marBottom w:val="0"/>
      <w:divBdr>
        <w:top w:val="none" w:sz="0" w:space="0" w:color="auto"/>
        <w:left w:val="none" w:sz="0" w:space="0" w:color="auto"/>
        <w:bottom w:val="none" w:sz="0" w:space="0" w:color="auto"/>
        <w:right w:val="none" w:sz="0" w:space="0" w:color="auto"/>
      </w:divBdr>
    </w:div>
    <w:div w:id="1943612409">
      <w:bodyDiv w:val="1"/>
      <w:marLeft w:val="0"/>
      <w:marRight w:val="0"/>
      <w:marTop w:val="0"/>
      <w:marBottom w:val="0"/>
      <w:divBdr>
        <w:top w:val="none" w:sz="0" w:space="0" w:color="auto"/>
        <w:left w:val="none" w:sz="0" w:space="0" w:color="auto"/>
        <w:bottom w:val="none" w:sz="0" w:space="0" w:color="auto"/>
        <w:right w:val="none" w:sz="0" w:space="0" w:color="auto"/>
      </w:divBdr>
    </w:div>
    <w:div w:id="1980574794">
      <w:bodyDiv w:val="1"/>
      <w:marLeft w:val="0"/>
      <w:marRight w:val="0"/>
      <w:marTop w:val="0"/>
      <w:marBottom w:val="0"/>
      <w:divBdr>
        <w:top w:val="none" w:sz="0" w:space="0" w:color="auto"/>
        <w:left w:val="none" w:sz="0" w:space="0" w:color="auto"/>
        <w:bottom w:val="none" w:sz="0" w:space="0" w:color="auto"/>
        <w:right w:val="none" w:sz="0" w:space="0" w:color="auto"/>
      </w:divBdr>
    </w:div>
    <w:div w:id="2072577793">
      <w:bodyDiv w:val="1"/>
      <w:marLeft w:val="0"/>
      <w:marRight w:val="0"/>
      <w:marTop w:val="0"/>
      <w:marBottom w:val="0"/>
      <w:divBdr>
        <w:top w:val="none" w:sz="0" w:space="0" w:color="auto"/>
        <w:left w:val="none" w:sz="0" w:space="0" w:color="auto"/>
        <w:bottom w:val="none" w:sz="0" w:space="0" w:color="auto"/>
        <w:right w:val="none" w:sz="0" w:space="0" w:color="auto"/>
      </w:divBdr>
    </w:div>
    <w:div w:id="2073579249">
      <w:bodyDiv w:val="1"/>
      <w:marLeft w:val="0"/>
      <w:marRight w:val="0"/>
      <w:marTop w:val="0"/>
      <w:marBottom w:val="0"/>
      <w:divBdr>
        <w:top w:val="none" w:sz="0" w:space="0" w:color="auto"/>
        <w:left w:val="none" w:sz="0" w:space="0" w:color="auto"/>
        <w:bottom w:val="none" w:sz="0" w:space="0" w:color="auto"/>
        <w:right w:val="none" w:sz="0" w:space="0" w:color="auto"/>
      </w:divBdr>
    </w:div>
    <w:div w:id="2119719907">
      <w:marLeft w:val="0"/>
      <w:marRight w:val="0"/>
      <w:marTop w:val="0"/>
      <w:marBottom w:val="0"/>
      <w:divBdr>
        <w:top w:val="none" w:sz="0" w:space="0" w:color="auto"/>
        <w:left w:val="none" w:sz="0" w:space="0" w:color="auto"/>
        <w:bottom w:val="none" w:sz="0" w:space="0" w:color="auto"/>
        <w:right w:val="none" w:sz="0" w:space="0" w:color="auto"/>
      </w:divBdr>
      <w:divsChild>
        <w:div w:id="2119719890">
          <w:marLeft w:val="1166"/>
          <w:marRight w:val="0"/>
          <w:marTop w:val="134"/>
          <w:marBottom w:val="0"/>
          <w:divBdr>
            <w:top w:val="none" w:sz="0" w:space="0" w:color="auto"/>
            <w:left w:val="none" w:sz="0" w:space="0" w:color="auto"/>
            <w:bottom w:val="none" w:sz="0" w:space="0" w:color="auto"/>
            <w:right w:val="none" w:sz="0" w:space="0" w:color="auto"/>
          </w:divBdr>
        </w:div>
        <w:div w:id="2119719894">
          <w:marLeft w:val="1800"/>
          <w:marRight w:val="0"/>
          <w:marTop w:val="134"/>
          <w:marBottom w:val="0"/>
          <w:divBdr>
            <w:top w:val="none" w:sz="0" w:space="0" w:color="auto"/>
            <w:left w:val="none" w:sz="0" w:space="0" w:color="auto"/>
            <w:bottom w:val="none" w:sz="0" w:space="0" w:color="auto"/>
            <w:right w:val="none" w:sz="0" w:space="0" w:color="auto"/>
          </w:divBdr>
        </w:div>
        <w:div w:id="2119719898">
          <w:marLeft w:val="1166"/>
          <w:marRight w:val="0"/>
          <w:marTop w:val="134"/>
          <w:marBottom w:val="0"/>
          <w:divBdr>
            <w:top w:val="none" w:sz="0" w:space="0" w:color="auto"/>
            <w:left w:val="none" w:sz="0" w:space="0" w:color="auto"/>
            <w:bottom w:val="none" w:sz="0" w:space="0" w:color="auto"/>
            <w:right w:val="none" w:sz="0" w:space="0" w:color="auto"/>
          </w:divBdr>
        </w:div>
        <w:div w:id="2119719900">
          <w:marLeft w:val="1800"/>
          <w:marRight w:val="0"/>
          <w:marTop w:val="134"/>
          <w:marBottom w:val="0"/>
          <w:divBdr>
            <w:top w:val="none" w:sz="0" w:space="0" w:color="auto"/>
            <w:left w:val="none" w:sz="0" w:space="0" w:color="auto"/>
            <w:bottom w:val="none" w:sz="0" w:space="0" w:color="auto"/>
            <w:right w:val="none" w:sz="0" w:space="0" w:color="auto"/>
          </w:divBdr>
        </w:div>
        <w:div w:id="2119719901">
          <w:marLeft w:val="1800"/>
          <w:marRight w:val="0"/>
          <w:marTop w:val="134"/>
          <w:marBottom w:val="0"/>
          <w:divBdr>
            <w:top w:val="none" w:sz="0" w:space="0" w:color="auto"/>
            <w:left w:val="none" w:sz="0" w:space="0" w:color="auto"/>
            <w:bottom w:val="none" w:sz="0" w:space="0" w:color="auto"/>
            <w:right w:val="none" w:sz="0" w:space="0" w:color="auto"/>
          </w:divBdr>
        </w:div>
        <w:div w:id="2119719902">
          <w:marLeft w:val="1800"/>
          <w:marRight w:val="0"/>
          <w:marTop w:val="134"/>
          <w:marBottom w:val="0"/>
          <w:divBdr>
            <w:top w:val="none" w:sz="0" w:space="0" w:color="auto"/>
            <w:left w:val="none" w:sz="0" w:space="0" w:color="auto"/>
            <w:bottom w:val="none" w:sz="0" w:space="0" w:color="auto"/>
            <w:right w:val="none" w:sz="0" w:space="0" w:color="auto"/>
          </w:divBdr>
        </w:div>
        <w:div w:id="2119719947">
          <w:marLeft w:val="1800"/>
          <w:marRight w:val="0"/>
          <w:marTop w:val="134"/>
          <w:marBottom w:val="0"/>
          <w:divBdr>
            <w:top w:val="none" w:sz="0" w:space="0" w:color="auto"/>
            <w:left w:val="none" w:sz="0" w:space="0" w:color="auto"/>
            <w:bottom w:val="none" w:sz="0" w:space="0" w:color="auto"/>
            <w:right w:val="none" w:sz="0" w:space="0" w:color="auto"/>
          </w:divBdr>
        </w:div>
      </w:divsChild>
    </w:div>
    <w:div w:id="2119719909">
      <w:marLeft w:val="0"/>
      <w:marRight w:val="0"/>
      <w:marTop w:val="0"/>
      <w:marBottom w:val="0"/>
      <w:divBdr>
        <w:top w:val="none" w:sz="0" w:space="0" w:color="auto"/>
        <w:left w:val="none" w:sz="0" w:space="0" w:color="auto"/>
        <w:bottom w:val="none" w:sz="0" w:space="0" w:color="auto"/>
        <w:right w:val="none" w:sz="0" w:space="0" w:color="auto"/>
      </w:divBdr>
    </w:div>
    <w:div w:id="2119719910">
      <w:marLeft w:val="0"/>
      <w:marRight w:val="0"/>
      <w:marTop w:val="0"/>
      <w:marBottom w:val="0"/>
      <w:divBdr>
        <w:top w:val="none" w:sz="0" w:space="0" w:color="auto"/>
        <w:left w:val="none" w:sz="0" w:space="0" w:color="auto"/>
        <w:bottom w:val="none" w:sz="0" w:space="0" w:color="auto"/>
        <w:right w:val="none" w:sz="0" w:space="0" w:color="auto"/>
      </w:divBdr>
      <w:divsChild>
        <w:div w:id="2119719896">
          <w:marLeft w:val="547"/>
          <w:marRight w:val="0"/>
          <w:marTop w:val="115"/>
          <w:marBottom w:val="0"/>
          <w:divBdr>
            <w:top w:val="none" w:sz="0" w:space="0" w:color="auto"/>
            <w:left w:val="none" w:sz="0" w:space="0" w:color="auto"/>
            <w:bottom w:val="none" w:sz="0" w:space="0" w:color="auto"/>
            <w:right w:val="none" w:sz="0" w:space="0" w:color="auto"/>
          </w:divBdr>
        </w:div>
        <w:div w:id="2119719906">
          <w:marLeft w:val="547"/>
          <w:marRight w:val="0"/>
          <w:marTop w:val="115"/>
          <w:marBottom w:val="0"/>
          <w:divBdr>
            <w:top w:val="none" w:sz="0" w:space="0" w:color="auto"/>
            <w:left w:val="none" w:sz="0" w:space="0" w:color="auto"/>
            <w:bottom w:val="none" w:sz="0" w:space="0" w:color="auto"/>
            <w:right w:val="none" w:sz="0" w:space="0" w:color="auto"/>
          </w:divBdr>
        </w:div>
        <w:div w:id="2119719908">
          <w:marLeft w:val="547"/>
          <w:marRight w:val="0"/>
          <w:marTop w:val="115"/>
          <w:marBottom w:val="0"/>
          <w:divBdr>
            <w:top w:val="none" w:sz="0" w:space="0" w:color="auto"/>
            <w:left w:val="none" w:sz="0" w:space="0" w:color="auto"/>
            <w:bottom w:val="none" w:sz="0" w:space="0" w:color="auto"/>
            <w:right w:val="none" w:sz="0" w:space="0" w:color="auto"/>
          </w:divBdr>
        </w:div>
      </w:divsChild>
    </w:div>
    <w:div w:id="2119719911">
      <w:marLeft w:val="0"/>
      <w:marRight w:val="0"/>
      <w:marTop w:val="0"/>
      <w:marBottom w:val="0"/>
      <w:divBdr>
        <w:top w:val="none" w:sz="0" w:space="0" w:color="auto"/>
        <w:left w:val="none" w:sz="0" w:space="0" w:color="auto"/>
        <w:bottom w:val="none" w:sz="0" w:space="0" w:color="auto"/>
        <w:right w:val="none" w:sz="0" w:space="0" w:color="auto"/>
      </w:divBdr>
      <w:divsChild>
        <w:div w:id="2119719889">
          <w:marLeft w:val="3658"/>
          <w:marRight w:val="0"/>
          <w:marTop w:val="86"/>
          <w:marBottom w:val="0"/>
          <w:divBdr>
            <w:top w:val="none" w:sz="0" w:space="0" w:color="auto"/>
            <w:left w:val="none" w:sz="0" w:space="0" w:color="auto"/>
            <w:bottom w:val="none" w:sz="0" w:space="0" w:color="auto"/>
            <w:right w:val="none" w:sz="0" w:space="0" w:color="auto"/>
          </w:divBdr>
        </w:div>
        <w:div w:id="2119719891">
          <w:marLeft w:val="1166"/>
          <w:marRight w:val="0"/>
          <w:marTop w:val="86"/>
          <w:marBottom w:val="0"/>
          <w:divBdr>
            <w:top w:val="none" w:sz="0" w:space="0" w:color="auto"/>
            <w:left w:val="none" w:sz="0" w:space="0" w:color="auto"/>
            <w:bottom w:val="none" w:sz="0" w:space="0" w:color="auto"/>
            <w:right w:val="none" w:sz="0" w:space="0" w:color="auto"/>
          </w:divBdr>
        </w:div>
        <w:div w:id="2119719892">
          <w:marLeft w:val="1166"/>
          <w:marRight w:val="0"/>
          <w:marTop w:val="86"/>
          <w:marBottom w:val="0"/>
          <w:divBdr>
            <w:top w:val="none" w:sz="0" w:space="0" w:color="auto"/>
            <w:left w:val="none" w:sz="0" w:space="0" w:color="auto"/>
            <w:bottom w:val="none" w:sz="0" w:space="0" w:color="auto"/>
            <w:right w:val="none" w:sz="0" w:space="0" w:color="auto"/>
          </w:divBdr>
        </w:div>
        <w:div w:id="2119719893">
          <w:marLeft w:val="3658"/>
          <w:marRight w:val="0"/>
          <w:marTop w:val="86"/>
          <w:marBottom w:val="0"/>
          <w:divBdr>
            <w:top w:val="none" w:sz="0" w:space="0" w:color="auto"/>
            <w:left w:val="none" w:sz="0" w:space="0" w:color="auto"/>
            <w:bottom w:val="none" w:sz="0" w:space="0" w:color="auto"/>
            <w:right w:val="none" w:sz="0" w:space="0" w:color="auto"/>
          </w:divBdr>
        </w:div>
        <w:div w:id="2119719895">
          <w:marLeft w:val="547"/>
          <w:marRight w:val="0"/>
          <w:marTop w:val="86"/>
          <w:marBottom w:val="0"/>
          <w:divBdr>
            <w:top w:val="none" w:sz="0" w:space="0" w:color="auto"/>
            <w:left w:val="none" w:sz="0" w:space="0" w:color="auto"/>
            <w:bottom w:val="none" w:sz="0" w:space="0" w:color="auto"/>
            <w:right w:val="none" w:sz="0" w:space="0" w:color="auto"/>
          </w:divBdr>
        </w:div>
        <w:div w:id="2119719897">
          <w:marLeft w:val="3658"/>
          <w:marRight w:val="0"/>
          <w:marTop w:val="86"/>
          <w:marBottom w:val="0"/>
          <w:divBdr>
            <w:top w:val="none" w:sz="0" w:space="0" w:color="auto"/>
            <w:left w:val="none" w:sz="0" w:space="0" w:color="auto"/>
            <w:bottom w:val="none" w:sz="0" w:space="0" w:color="auto"/>
            <w:right w:val="none" w:sz="0" w:space="0" w:color="auto"/>
          </w:divBdr>
        </w:div>
        <w:div w:id="2119719899">
          <w:marLeft w:val="547"/>
          <w:marRight w:val="0"/>
          <w:marTop w:val="86"/>
          <w:marBottom w:val="0"/>
          <w:divBdr>
            <w:top w:val="none" w:sz="0" w:space="0" w:color="auto"/>
            <w:left w:val="none" w:sz="0" w:space="0" w:color="auto"/>
            <w:bottom w:val="none" w:sz="0" w:space="0" w:color="auto"/>
            <w:right w:val="none" w:sz="0" w:space="0" w:color="auto"/>
          </w:divBdr>
        </w:div>
        <w:div w:id="2119719903">
          <w:marLeft w:val="835"/>
          <w:marRight w:val="0"/>
          <w:marTop w:val="86"/>
          <w:marBottom w:val="0"/>
          <w:divBdr>
            <w:top w:val="none" w:sz="0" w:space="0" w:color="auto"/>
            <w:left w:val="none" w:sz="0" w:space="0" w:color="auto"/>
            <w:bottom w:val="none" w:sz="0" w:space="0" w:color="auto"/>
            <w:right w:val="none" w:sz="0" w:space="0" w:color="auto"/>
          </w:divBdr>
        </w:div>
        <w:div w:id="2119719904">
          <w:marLeft w:val="3658"/>
          <w:marRight w:val="0"/>
          <w:marTop w:val="86"/>
          <w:marBottom w:val="0"/>
          <w:divBdr>
            <w:top w:val="none" w:sz="0" w:space="0" w:color="auto"/>
            <w:left w:val="none" w:sz="0" w:space="0" w:color="auto"/>
            <w:bottom w:val="none" w:sz="0" w:space="0" w:color="auto"/>
            <w:right w:val="none" w:sz="0" w:space="0" w:color="auto"/>
          </w:divBdr>
        </w:div>
        <w:div w:id="2119719905">
          <w:marLeft w:val="4378"/>
          <w:marRight w:val="0"/>
          <w:marTop w:val="67"/>
          <w:marBottom w:val="0"/>
          <w:divBdr>
            <w:top w:val="none" w:sz="0" w:space="0" w:color="auto"/>
            <w:left w:val="none" w:sz="0" w:space="0" w:color="auto"/>
            <w:bottom w:val="none" w:sz="0" w:space="0" w:color="auto"/>
            <w:right w:val="none" w:sz="0" w:space="0" w:color="auto"/>
          </w:divBdr>
        </w:div>
        <w:div w:id="2119719913">
          <w:marLeft w:val="1166"/>
          <w:marRight w:val="0"/>
          <w:marTop w:val="86"/>
          <w:marBottom w:val="0"/>
          <w:divBdr>
            <w:top w:val="none" w:sz="0" w:space="0" w:color="auto"/>
            <w:left w:val="none" w:sz="0" w:space="0" w:color="auto"/>
            <w:bottom w:val="none" w:sz="0" w:space="0" w:color="auto"/>
            <w:right w:val="none" w:sz="0" w:space="0" w:color="auto"/>
          </w:divBdr>
        </w:div>
      </w:divsChild>
    </w:div>
    <w:div w:id="2119719912">
      <w:marLeft w:val="0"/>
      <w:marRight w:val="0"/>
      <w:marTop w:val="0"/>
      <w:marBottom w:val="0"/>
      <w:divBdr>
        <w:top w:val="none" w:sz="0" w:space="0" w:color="auto"/>
        <w:left w:val="none" w:sz="0" w:space="0" w:color="auto"/>
        <w:bottom w:val="none" w:sz="0" w:space="0" w:color="auto"/>
        <w:right w:val="none" w:sz="0" w:space="0" w:color="auto"/>
      </w:divBdr>
    </w:div>
    <w:div w:id="2119719915">
      <w:marLeft w:val="0"/>
      <w:marRight w:val="0"/>
      <w:marTop w:val="0"/>
      <w:marBottom w:val="0"/>
      <w:divBdr>
        <w:top w:val="none" w:sz="0" w:space="0" w:color="auto"/>
        <w:left w:val="none" w:sz="0" w:space="0" w:color="auto"/>
        <w:bottom w:val="none" w:sz="0" w:space="0" w:color="auto"/>
        <w:right w:val="none" w:sz="0" w:space="0" w:color="auto"/>
      </w:divBdr>
      <w:divsChild>
        <w:div w:id="2119719914">
          <w:marLeft w:val="547"/>
          <w:marRight w:val="0"/>
          <w:marTop w:val="154"/>
          <w:marBottom w:val="0"/>
          <w:divBdr>
            <w:top w:val="none" w:sz="0" w:space="0" w:color="auto"/>
            <w:left w:val="none" w:sz="0" w:space="0" w:color="auto"/>
            <w:bottom w:val="none" w:sz="0" w:space="0" w:color="auto"/>
            <w:right w:val="none" w:sz="0" w:space="0" w:color="auto"/>
          </w:divBdr>
        </w:div>
        <w:div w:id="2119719916">
          <w:marLeft w:val="547"/>
          <w:marRight w:val="0"/>
          <w:marTop w:val="154"/>
          <w:marBottom w:val="0"/>
          <w:divBdr>
            <w:top w:val="none" w:sz="0" w:space="0" w:color="auto"/>
            <w:left w:val="none" w:sz="0" w:space="0" w:color="auto"/>
            <w:bottom w:val="none" w:sz="0" w:space="0" w:color="auto"/>
            <w:right w:val="none" w:sz="0" w:space="0" w:color="auto"/>
          </w:divBdr>
        </w:div>
        <w:div w:id="2119719917">
          <w:marLeft w:val="547"/>
          <w:marRight w:val="0"/>
          <w:marTop w:val="154"/>
          <w:marBottom w:val="0"/>
          <w:divBdr>
            <w:top w:val="none" w:sz="0" w:space="0" w:color="auto"/>
            <w:left w:val="none" w:sz="0" w:space="0" w:color="auto"/>
            <w:bottom w:val="none" w:sz="0" w:space="0" w:color="auto"/>
            <w:right w:val="none" w:sz="0" w:space="0" w:color="auto"/>
          </w:divBdr>
        </w:div>
      </w:divsChild>
    </w:div>
    <w:div w:id="2119719918">
      <w:marLeft w:val="0"/>
      <w:marRight w:val="0"/>
      <w:marTop w:val="0"/>
      <w:marBottom w:val="0"/>
      <w:divBdr>
        <w:top w:val="none" w:sz="0" w:space="0" w:color="auto"/>
        <w:left w:val="none" w:sz="0" w:space="0" w:color="auto"/>
        <w:bottom w:val="none" w:sz="0" w:space="0" w:color="auto"/>
        <w:right w:val="none" w:sz="0" w:space="0" w:color="auto"/>
      </w:divBdr>
    </w:div>
    <w:div w:id="2119719919">
      <w:marLeft w:val="0"/>
      <w:marRight w:val="0"/>
      <w:marTop w:val="0"/>
      <w:marBottom w:val="0"/>
      <w:divBdr>
        <w:top w:val="none" w:sz="0" w:space="0" w:color="auto"/>
        <w:left w:val="none" w:sz="0" w:space="0" w:color="auto"/>
        <w:bottom w:val="none" w:sz="0" w:space="0" w:color="auto"/>
        <w:right w:val="none" w:sz="0" w:space="0" w:color="auto"/>
      </w:divBdr>
    </w:div>
    <w:div w:id="2119719920">
      <w:marLeft w:val="0"/>
      <w:marRight w:val="0"/>
      <w:marTop w:val="0"/>
      <w:marBottom w:val="0"/>
      <w:divBdr>
        <w:top w:val="none" w:sz="0" w:space="0" w:color="auto"/>
        <w:left w:val="none" w:sz="0" w:space="0" w:color="auto"/>
        <w:bottom w:val="none" w:sz="0" w:space="0" w:color="auto"/>
        <w:right w:val="none" w:sz="0" w:space="0" w:color="auto"/>
      </w:divBdr>
    </w:div>
    <w:div w:id="2119719925">
      <w:marLeft w:val="0"/>
      <w:marRight w:val="0"/>
      <w:marTop w:val="0"/>
      <w:marBottom w:val="0"/>
      <w:divBdr>
        <w:top w:val="none" w:sz="0" w:space="0" w:color="auto"/>
        <w:left w:val="none" w:sz="0" w:space="0" w:color="auto"/>
        <w:bottom w:val="none" w:sz="0" w:space="0" w:color="auto"/>
        <w:right w:val="none" w:sz="0" w:space="0" w:color="auto"/>
      </w:divBdr>
    </w:div>
    <w:div w:id="2119719926">
      <w:marLeft w:val="0"/>
      <w:marRight w:val="0"/>
      <w:marTop w:val="0"/>
      <w:marBottom w:val="0"/>
      <w:divBdr>
        <w:top w:val="none" w:sz="0" w:space="0" w:color="auto"/>
        <w:left w:val="none" w:sz="0" w:space="0" w:color="auto"/>
        <w:bottom w:val="none" w:sz="0" w:space="0" w:color="auto"/>
        <w:right w:val="none" w:sz="0" w:space="0" w:color="auto"/>
      </w:divBdr>
      <w:divsChild>
        <w:div w:id="2119719929">
          <w:marLeft w:val="1166"/>
          <w:marRight w:val="0"/>
          <w:marTop w:val="96"/>
          <w:marBottom w:val="0"/>
          <w:divBdr>
            <w:top w:val="none" w:sz="0" w:space="0" w:color="auto"/>
            <w:left w:val="none" w:sz="0" w:space="0" w:color="auto"/>
            <w:bottom w:val="none" w:sz="0" w:space="0" w:color="auto"/>
            <w:right w:val="none" w:sz="0" w:space="0" w:color="auto"/>
          </w:divBdr>
        </w:div>
      </w:divsChild>
    </w:div>
    <w:div w:id="2119719927">
      <w:marLeft w:val="0"/>
      <w:marRight w:val="0"/>
      <w:marTop w:val="0"/>
      <w:marBottom w:val="0"/>
      <w:divBdr>
        <w:top w:val="none" w:sz="0" w:space="0" w:color="auto"/>
        <w:left w:val="none" w:sz="0" w:space="0" w:color="auto"/>
        <w:bottom w:val="none" w:sz="0" w:space="0" w:color="auto"/>
        <w:right w:val="none" w:sz="0" w:space="0" w:color="auto"/>
      </w:divBdr>
    </w:div>
    <w:div w:id="2119719928">
      <w:marLeft w:val="0"/>
      <w:marRight w:val="0"/>
      <w:marTop w:val="0"/>
      <w:marBottom w:val="0"/>
      <w:divBdr>
        <w:top w:val="none" w:sz="0" w:space="0" w:color="auto"/>
        <w:left w:val="none" w:sz="0" w:space="0" w:color="auto"/>
        <w:bottom w:val="none" w:sz="0" w:space="0" w:color="auto"/>
        <w:right w:val="none" w:sz="0" w:space="0" w:color="auto"/>
      </w:divBdr>
    </w:div>
    <w:div w:id="2119719931">
      <w:marLeft w:val="0"/>
      <w:marRight w:val="0"/>
      <w:marTop w:val="0"/>
      <w:marBottom w:val="0"/>
      <w:divBdr>
        <w:top w:val="none" w:sz="0" w:space="0" w:color="auto"/>
        <w:left w:val="none" w:sz="0" w:space="0" w:color="auto"/>
        <w:bottom w:val="none" w:sz="0" w:space="0" w:color="auto"/>
        <w:right w:val="none" w:sz="0" w:space="0" w:color="auto"/>
      </w:divBdr>
      <w:divsChild>
        <w:div w:id="2119719924">
          <w:marLeft w:val="446"/>
          <w:marRight w:val="0"/>
          <w:marTop w:val="0"/>
          <w:marBottom w:val="0"/>
          <w:divBdr>
            <w:top w:val="none" w:sz="0" w:space="0" w:color="auto"/>
            <w:left w:val="none" w:sz="0" w:space="0" w:color="auto"/>
            <w:bottom w:val="none" w:sz="0" w:space="0" w:color="auto"/>
            <w:right w:val="none" w:sz="0" w:space="0" w:color="auto"/>
          </w:divBdr>
        </w:div>
        <w:div w:id="2119719932">
          <w:marLeft w:val="446"/>
          <w:marRight w:val="0"/>
          <w:marTop w:val="0"/>
          <w:marBottom w:val="0"/>
          <w:divBdr>
            <w:top w:val="none" w:sz="0" w:space="0" w:color="auto"/>
            <w:left w:val="none" w:sz="0" w:space="0" w:color="auto"/>
            <w:bottom w:val="none" w:sz="0" w:space="0" w:color="auto"/>
            <w:right w:val="none" w:sz="0" w:space="0" w:color="auto"/>
          </w:divBdr>
        </w:div>
      </w:divsChild>
    </w:div>
    <w:div w:id="2119719935">
      <w:marLeft w:val="0"/>
      <w:marRight w:val="0"/>
      <w:marTop w:val="0"/>
      <w:marBottom w:val="0"/>
      <w:divBdr>
        <w:top w:val="none" w:sz="0" w:space="0" w:color="auto"/>
        <w:left w:val="none" w:sz="0" w:space="0" w:color="auto"/>
        <w:bottom w:val="none" w:sz="0" w:space="0" w:color="auto"/>
        <w:right w:val="none" w:sz="0" w:space="0" w:color="auto"/>
      </w:divBdr>
      <w:divsChild>
        <w:div w:id="2119719921">
          <w:marLeft w:val="547"/>
          <w:marRight w:val="0"/>
          <w:marTop w:val="96"/>
          <w:marBottom w:val="0"/>
          <w:divBdr>
            <w:top w:val="none" w:sz="0" w:space="0" w:color="auto"/>
            <w:left w:val="none" w:sz="0" w:space="0" w:color="auto"/>
            <w:bottom w:val="none" w:sz="0" w:space="0" w:color="auto"/>
            <w:right w:val="none" w:sz="0" w:space="0" w:color="auto"/>
          </w:divBdr>
        </w:div>
        <w:div w:id="2119719923">
          <w:marLeft w:val="1166"/>
          <w:marRight w:val="0"/>
          <w:marTop w:val="77"/>
          <w:marBottom w:val="0"/>
          <w:divBdr>
            <w:top w:val="none" w:sz="0" w:space="0" w:color="auto"/>
            <w:left w:val="none" w:sz="0" w:space="0" w:color="auto"/>
            <w:bottom w:val="none" w:sz="0" w:space="0" w:color="auto"/>
            <w:right w:val="none" w:sz="0" w:space="0" w:color="auto"/>
          </w:divBdr>
        </w:div>
        <w:div w:id="2119719933">
          <w:marLeft w:val="1166"/>
          <w:marRight w:val="0"/>
          <w:marTop w:val="77"/>
          <w:marBottom w:val="0"/>
          <w:divBdr>
            <w:top w:val="none" w:sz="0" w:space="0" w:color="auto"/>
            <w:left w:val="none" w:sz="0" w:space="0" w:color="auto"/>
            <w:bottom w:val="none" w:sz="0" w:space="0" w:color="auto"/>
            <w:right w:val="none" w:sz="0" w:space="0" w:color="auto"/>
          </w:divBdr>
        </w:div>
        <w:div w:id="2119719934">
          <w:marLeft w:val="547"/>
          <w:marRight w:val="0"/>
          <w:marTop w:val="96"/>
          <w:marBottom w:val="0"/>
          <w:divBdr>
            <w:top w:val="none" w:sz="0" w:space="0" w:color="auto"/>
            <w:left w:val="none" w:sz="0" w:space="0" w:color="auto"/>
            <w:bottom w:val="none" w:sz="0" w:space="0" w:color="auto"/>
            <w:right w:val="none" w:sz="0" w:space="0" w:color="auto"/>
          </w:divBdr>
        </w:div>
      </w:divsChild>
    </w:div>
    <w:div w:id="2119719936">
      <w:marLeft w:val="0"/>
      <w:marRight w:val="0"/>
      <w:marTop w:val="0"/>
      <w:marBottom w:val="0"/>
      <w:divBdr>
        <w:top w:val="none" w:sz="0" w:space="0" w:color="auto"/>
        <w:left w:val="none" w:sz="0" w:space="0" w:color="auto"/>
        <w:bottom w:val="none" w:sz="0" w:space="0" w:color="auto"/>
        <w:right w:val="none" w:sz="0" w:space="0" w:color="auto"/>
      </w:divBdr>
      <w:divsChild>
        <w:div w:id="2119719922">
          <w:marLeft w:val="547"/>
          <w:marRight w:val="0"/>
          <w:marTop w:val="96"/>
          <w:marBottom w:val="0"/>
          <w:divBdr>
            <w:top w:val="none" w:sz="0" w:space="0" w:color="auto"/>
            <w:left w:val="none" w:sz="0" w:space="0" w:color="auto"/>
            <w:bottom w:val="none" w:sz="0" w:space="0" w:color="auto"/>
            <w:right w:val="none" w:sz="0" w:space="0" w:color="auto"/>
          </w:divBdr>
        </w:div>
        <w:div w:id="2119719930">
          <w:marLeft w:val="547"/>
          <w:marRight w:val="0"/>
          <w:marTop w:val="96"/>
          <w:marBottom w:val="0"/>
          <w:divBdr>
            <w:top w:val="none" w:sz="0" w:space="0" w:color="auto"/>
            <w:left w:val="none" w:sz="0" w:space="0" w:color="auto"/>
            <w:bottom w:val="none" w:sz="0" w:space="0" w:color="auto"/>
            <w:right w:val="none" w:sz="0" w:space="0" w:color="auto"/>
          </w:divBdr>
        </w:div>
      </w:divsChild>
    </w:div>
    <w:div w:id="2119719937">
      <w:marLeft w:val="0"/>
      <w:marRight w:val="0"/>
      <w:marTop w:val="0"/>
      <w:marBottom w:val="0"/>
      <w:divBdr>
        <w:top w:val="none" w:sz="0" w:space="0" w:color="auto"/>
        <w:left w:val="none" w:sz="0" w:space="0" w:color="auto"/>
        <w:bottom w:val="none" w:sz="0" w:space="0" w:color="auto"/>
        <w:right w:val="none" w:sz="0" w:space="0" w:color="auto"/>
      </w:divBdr>
    </w:div>
    <w:div w:id="2119719938">
      <w:marLeft w:val="0"/>
      <w:marRight w:val="0"/>
      <w:marTop w:val="0"/>
      <w:marBottom w:val="0"/>
      <w:divBdr>
        <w:top w:val="none" w:sz="0" w:space="0" w:color="auto"/>
        <w:left w:val="none" w:sz="0" w:space="0" w:color="auto"/>
        <w:bottom w:val="none" w:sz="0" w:space="0" w:color="auto"/>
        <w:right w:val="none" w:sz="0" w:space="0" w:color="auto"/>
      </w:divBdr>
    </w:div>
    <w:div w:id="2119719939">
      <w:marLeft w:val="0"/>
      <w:marRight w:val="0"/>
      <w:marTop w:val="0"/>
      <w:marBottom w:val="0"/>
      <w:divBdr>
        <w:top w:val="none" w:sz="0" w:space="0" w:color="auto"/>
        <w:left w:val="none" w:sz="0" w:space="0" w:color="auto"/>
        <w:bottom w:val="none" w:sz="0" w:space="0" w:color="auto"/>
        <w:right w:val="none" w:sz="0" w:space="0" w:color="auto"/>
      </w:divBdr>
    </w:div>
    <w:div w:id="2119719940">
      <w:marLeft w:val="0"/>
      <w:marRight w:val="0"/>
      <w:marTop w:val="0"/>
      <w:marBottom w:val="0"/>
      <w:divBdr>
        <w:top w:val="none" w:sz="0" w:space="0" w:color="auto"/>
        <w:left w:val="none" w:sz="0" w:space="0" w:color="auto"/>
        <w:bottom w:val="none" w:sz="0" w:space="0" w:color="auto"/>
        <w:right w:val="none" w:sz="0" w:space="0" w:color="auto"/>
      </w:divBdr>
    </w:div>
    <w:div w:id="2119719941">
      <w:marLeft w:val="0"/>
      <w:marRight w:val="0"/>
      <w:marTop w:val="0"/>
      <w:marBottom w:val="0"/>
      <w:divBdr>
        <w:top w:val="none" w:sz="0" w:space="0" w:color="auto"/>
        <w:left w:val="none" w:sz="0" w:space="0" w:color="auto"/>
        <w:bottom w:val="none" w:sz="0" w:space="0" w:color="auto"/>
        <w:right w:val="none" w:sz="0" w:space="0" w:color="auto"/>
      </w:divBdr>
    </w:div>
    <w:div w:id="2119719942">
      <w:marLeft w:val="0"/>
      <w:marRight w:val="0"/>
      <w:marTop w:val="0"/>
      <w:marBottom w:val="0"/>
      <w:divBdr>
        <w:top w:val="none" w:sz="0" w:space="0" w:color="auto"/>
        <w:left w:val="none" w:sz="0" w:space="0" w:color="auto"/>
        <w:bottom w:val="none" w:sz="0" w:space="0" w:color="auto"/>
        <w:right w:val="none" w:sz="0" w:space="0" w:color="auto"/>
      </w:divBdr>
    </w:div>
    <w:div w:id="2119719943">
      <w:marLeft w:val="0"/>
      <w:marRight w:val="0"/>
      <w:marTop w:val="0"/>
      <w:marBottom w:val="0"/>
      <w:divBdr>
        <w:top w:val="none" w:sz="0" w:space="0" w:color="auto"/>
        <w:left w:val="none" w:sz="0" w:space="0" w:color="auto"/>
        <w:bottom w:val="none" w:sz="0" w:space="0" w:color="auto"/>
        <w:right w:val="none" w:sz="0" w:space="0" w:color="auto"/>
      </w:divBdr>
    </w:div>
    <w:div w:id="2119719944">
      <w:marLeft w:val="0"/>
      <w:marRight w:val="0"/>
      <w:marTop w:val="0"/>
      <w:marBottom w:val="0"/>
      <w:divBdr>
        <w:top w:val="none" w:sz="0" w:space="0" w:color="auto"/>
        <w:left w:val="none" w:sz="0" w:space="0" w:color="auto"/>
        <w:bottom w:val="none" w:sz="0" w:space="0" w:color="auto"/>
        <w:right w:val="none" w:sz="0" w:space="0" w:color="auto"/>
      </w:divBdr>
    </w:div>
    <w:div w:id="2119719945">
      <w:marLeft w:val="0"/>
      <w:marRight w:val="0"/>
      <w:marTop w:val="0"/>
      <w:marBottom w:val="0"/>
      <w:divBdr>
        <w:top w:val="none" w:sz="0" w:space="0" w:color="auto"/>
        <w:left w:val="none" w:sz="0" w:space="0" w:color="auto"/>
        <w:bottom w:val="none" w:sz="0" w:space="0" w:color="auto"/>
        <w:right w:val="none" w:sz="0" w:space="0" w:color="auto"/>
      </w:divBdr>
    </w:div>
    <w:div w:id="2119719946">
      <w:marLeft w:val="0"/>
      <w:marRight w:val="0"/>
      <w:marTop w:val="0"/>
      <w:marBottom w:val="0"/>
      <w:divBdr>
        <w:top w:val="none" w:sz="0" w:space="0" w:color="auto"/>
        <w:left w:val="none" w:sz="0" w:space="0" w:color="auto"/>
        <w:bottom w:val="none" w:sz="0" w:space="0" w:color="auto"/>
        <w:right w:val="none" w:sz="0" w:space="0" w:color="auto"/>
      </w:divBdr>
    </w:div>
    <w:div w:id="21197199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s-sante.fr/jcms/p_3602131/fr/syndromes-de-willebrand-acquis"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mailto:Nikolaus.Binder@technoclon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2017R0746" TargetMode="External"/><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7D388-D7C6-4D3B-AB2A-611367D45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6528</Words>
  <Characters>36040</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Compte rendu 2ème journée du club des biologistes</vt:lpstr>
    </vt:vector>
  </TitlesOfParts>
  <Company>CNRS / BIO-RAD</Company>
  <LinksUpToDate>false</LinksUpToDate>
  <CharactersWithSpaces>42484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2ème journée du club des biologistes</dc:title>
  <dc:creator>Pouplard</dc:creator>
  <cp:lastModifiedBy>TERNISIEN Catherine</cp:lastModifiedBy>
  <cp:revision>2</cp:revision>
  <cp:lastPrinted>2019-09-10T09:02:00Z</cp:lastPrinted>
  <dcterms:created xsi:type="dcterms:W3CDTF">2025-07-24T14:56:00Z</dcterms:created>
  <dcterms:modified xsi:type="dcterms:W3CDTF">2025-07-24T14:56:00Z</dcterms:modified>
</cp:coreProperties>
</file>